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3428732"/>
    <w:bookmarkEnd w:id="0"/>
    <w:p w14:paraId="3AAF4777" w14:textId="4CF027D2" w:rsidR="00CE7DF2" w:rsidRPr="00770A5E" w:rsidRDefault="00116740" w:rsidP="00BF0243">
      <w:pPr>
        <w:rPr>
          <w:rFonts w:eastAsia="Times New Roman" w:cstheme="minorHAnsi"/>
          <w:sz w:val="20"/>
          <w:szCs w:val="20"/>
        </w:rPr>
      </w:pPr>
      <w:r w:rsidRPr="00770A5E">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770A5E">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770A5E">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1AB3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770A5E" w:rsidRDefault="00CE7DF2" w:rsidP="00BF0243">
      <w:pPr>
        <w:shd w:val="clear" w:color="auto" w:fill="FFFFFF"/>
        <w:rPr>
          <w:rFonts w:eastAsia="Times New Roman" w:cstheme="minorHAnsi"/>
          <w:b/>
          <w:bCs/>
          <w:color w:val="000000"/>
          <w:sz w:val="32"/>
          <w:szCs w:val="32"/>
        </w:rPr>
      </w:pPr>
    </w:p>
    <w:p w14:paraId="498CF986" w14:textId="3D470FC8" w:rsidR="00310271" w:rsidRPr="00770A5E" w:rsidRDefault="007A0312" w:rsidP="00BF0243">
      <w:pPr>
        <w:ind w:left="720"/>
        <w:rPr>
          <w:rFonts w:eastAsia="Proxima Nova Light" w:cstheme="minorHAnsi"/>
          <w:color w:val="005EA4"/>
          <w:sz w:val="44"/>
          <w:szCs w:val="44"/>
        </w:rPr>
      </w:pPr>
      <w:r>
        <w:rPr>
          <w:rFonts w:eastAsia="Times New Roman" w:cstheme="minorHAnsi"/>
          <w:b/>
          <w:bCs/>
          <w:color w:val="005EA4"/>
          <w:sz w:val="44"/>
          <w:szCs w:val="44"/>
        </w:rPr>
        <w:t>Ju</w:t>
      </w:r>
      <w:r w:rsidR="00BC1CC0">
        <w:rPr>
          <w:rFonts w:eastAsia="Times New Roman" w:cstheme="minorHAnsi"/>
          <w:b/>
          <w:bCs/>
          <w:color w:val="005EA4"/>
          <w:sz w:val="44"/>
          <w:szCs w:val="44"/>
        </w:rPr>
        <w:t>ly</w:t>
      </w:r>
      <w:r w:rsidR="002D2361">
        <w:rPr>
          <w:rFonts w:eastAsia="Times New Roman" w:cstheme="minorHAnsi"/>
          <w:b/>
          <w:bCs/>
          <w:color w:val="005EA4"/>
          <w:sz w:val="44"/>
          <w:szCs w:val="44"/>
        </w:rPr>
        <w:t xml:space="preserve"> </w:t>
      </w:r>
      <w:r w:rsidR="00DC63C0">
        <w:rPr>
          <w:rFonts w:eastAsia="Times New Roman" w:cstheme="minorHAnsi"/>
          <w:b/>
          <w:bCs/>
          <w:color w:val="005EA4"/>
          <w:sz w:val="44"/>
          <w:szCs w:val="44"/>
        </w:rPr>
        <w:t>2023</w:t>
      </w:r>
      <w:r w:rsidR="00CE7DF2" w:rsidRPr="00770A5E">
        <w:rPr>
          <w:rFonts w:eastAsia="Times New Roman" w:cstheme="minorHAnsi"/>
          <w:b/>
          <w:bCs/>
          <w:color w:val="005EA4"/>
          <w:sz w:val="44"/>
          <w:szCs w:val="44"/>
        </w:rPr>
        <w:t xml:space="preserve"> Market </w:t>
      </w:r>
      <w:r w:rsidR="00834733" w:rsidRPr="00770A5E">
        <w:rPr>
          <w:rFonts w:eastAsia="Times New Roman" w:cstheme="minorHAnsi"/>
          <w:b/>
          <w:bCs/>
          <w:color w:val="005EA4"/>
          <w:sz w:val="44"/>
          <w:szCs w:val="44"/>
        </w:rPr>
        <w:t>Recap</w:t>
      </w:r>
      <w:r w:rsidR="00CE7DF2" w:rsidRPr="00770A5E">
        <w:rPr>
          <w:rFonts w:eastAsia="Times New Roman" w:cstheme="minorHAnsi"/>
          <w:b/>
          <w:bCs/>
          <w:color w:val="005EA4"/>
          <w:sz w:val="44"/>
          <w:szCs w:val="44"/>
        </w:rPr>
        <w:t xml:space="preserve"> </w:t>
      </w:r>
    </w:p>
    <w:p w14:paraId="498CF98A" w14:textId="77777777" w:rsidR="00FD5531" w:rsidRPr="00770A5E" w:rsidRDefault="001C50E7" w:rsidP="00BF0243">
      <w:pPr>
        <w:pStyle w:val="BodyText"/>
        <w:ind w:left="0" w:right="730"/>
        <w:rPr>
          <w:rFonts w:asciiTheme="minorHAnsi" w:hAnsiTheme="minorHAnsi" w:cstheme="minorHAnsi"/>
          <w:color w:val="0070C0"/>
          <w:sz w:val="32"/>
        </w:rPr>
        <w:sectPr w:rsidR="00FD5531" w:rsidRPr="00770A5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770A5E">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2388F"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11558E" w:rsidRDefault="00723E52" w:rsidP="00513DD7">
      <w:pPr>
        <w:ind w:left="-630"/>
        <w:rPr>
          <w:rFonts w:cstheme="minorHAnsi"/>
          <w:sz w:val="21"/>
          <w:szCs w:val="21"/>
        </w:rPr>
      </w:pPr>
    </w:p>
    <w:p w14:paraId="2848F6D5" w14:textId="77777777" w:rsidR="003A7A3C" w:rsidRPr="00FA6742" w:rsidRDefault="003A7A3C" w:rsidP="003A7A3C">
      <w:pPr>
        <w:ind w:right="360"/>
        <w:rPr>
          <w:rFonts w:ascii="Avenir" w:eastAsia="Avenir" w:hAnsi="Avenir" w:cs="Avenir"/>
          <w:color w:val="58595B"/>
        </w:rPr>
      </w:pPr>
      <w:r w:rsidRPr="00FA6742">
        <w:rPr>
          <w:rFonts w:ascii="Avenir" w:eastAsia="Avenir" w:hAnsi="Avenir" w:cs="Avenir"/>
          <w:color w:val="58595B"/>
        </w:rPr>
        <w:t xml:space="preserve">The stock market delivered another solid month for investors as both the broad market S&amp;P 500® (SPX) and the tech-heavy NASDAQ Composite Index (COMP) added to multi-month gains. Without much surprise or fanfare, the Federal Reserve (Fed) raised interest rates in July after taking a break in June. While some hope this will prove to be the last hike of the year, the fact is that inflation remains above the Fed's 2% target rate despite showing signs of </w:t>
      </w:r>
      <w:proofErr w:type="gramStart"/>
      <w:r w:rsidRPr="00FA6742">
        <w:rPr>
          <w:rFonts w:ascii="Avenir" w:eastAsia="Avenir" w:hAnsi="Avenir" w:cs="Avenir"/>
          <w:color w:val="58595B"/>
        </w:rPr>
        <w:t>moderating</w:t>
      </w:r>
      <w:proofErr w:type="gramEnd"/>
      <w:r w:rsidRPr="00FA6742">
        <w:rPr>
          <w:rFonts w:ascii="Avenir" w:eastAsia="Avenir" w:hAnsi="Avenir" w:cs="Avenir"/>
          <w:color w:val="58595B"/>
        </w:rPr>
        <w:t xml:space="preserve"> in recent months. Plus, the latest Gross Domestic Product (GDP) report – which was released after the Fed's meeting – showed surprising economic resilience in the face of increasing interest rate pressure, which could give the Fed more confidence to continue raising rates in the second half of the year. </w:t>
      </w:r>
    </w:p>
    <w:p w14:paraId="524918E5" w14:textId="77777777" w:rsidR="004F6419" w:rsidRPr="004F6419" w:rsidRDefault="004F6419" w:rsidP="004F6419">
      <w:pPr>
        <w:pStyle w:val="Heading2"/>
        <w:ind w:right="360"/>
        <w:rPr>
          <w:rFonts w:asciiTheme="minorHAnsi" w:eastAsia="Avenir" w:hAnsiTheme="minorHAnsi" w:cstheme="minorHAnsi"/>
          <w:b w:val="0"/>
          <w:color w:val="005EA4"/>
        </w:rPr>
      </w:pPr>
      <w:r w:rsidRPr="004F6419">
        <w:rPr>
          <w:rFonts w:asciiTheme="minorHAnsi" w:eastAsia="Avenir" w:hAnsiTheme="minorHAnsi" w:cstheme="minorHAnsi"/>
          <w:color w:val="005EA4"/>
        </w:rPr>
        <w:t>Stocks Continue Climbing</w:t>
      </w:r>
    </w:p>
    <w:p w14:paraId="46219849" w14:textId="7305BD83" w:rsidR="00271D59" w:rsidRPr="00FA6742" w:rsidRDefault="004F6419" w:rsidP="005E4B02">
      <w:pPr>
        <w:ind w:right="360"/>
        <w:rPr>
          <w:rFonts w:ascii="Avenir" w:eastAsia="Avenir" w:hAnsi="Avenir" w:cs="Avenir"/>
          <w:color w:val="58595B"/>
        </w:rPr>
      </w:pPr>
      <w:r w:rsidRPr="00FA6742">
        <w:rPr>
          <w:rFonts w:ascii="Avenir" w:eastAsia="Avenir" w:hAnsi="Avenir" w:cs="Avenir"/>
          <w:color w:val="58595B"/>
        </w:rPr>
        <w:t xml:space="preserve">July marked the fifth consecutive month of gains for the large-cap SPX and the technology-based COMP, as retail and institutional investors continue to demonstrate strong demand for equities, and tech </w:t>
      </w:r>
      <w:proofErr w:type="gramStart"/>
      <w:r w:rsidRPr="00FA6742">
        <w:rPr>
          <w:rFonts w:ascii="Avenir" w:eastAsia="Avenir" w:hAnsi="Avenir" w:cs="Avenir"/>
          <w:color w:val="58595B"/>
        </w:rPr>
        <w:t>stocks in particular</w:t>
      </w:r>
      <w:proofErr w:type="gramEnd"/>
      <w:r w:rsidRPr="00FA6742">
        <w:rPr>
          <w:rFonts w:ascii="Avenir" w:eastAsia="Avenir" w:hAnsi="Avenir" w:cs="Avenir"/>
          <w:color w:val="58595B"/>
        </w:rPr>
        <w:t>. The SPX gained 3.1% for the month while the COMP was up 4.1%. The popular Dow Jones Industrial Average® (DJIA) also added to its turnaround, delivering a second straight month of gains after an up-and-down start to the year. On a longer-term basis, most areas of the market are showing strength. Factors that are likely driving this positive trend are encouraging inflation data, strong economic growth, relatively high consumer confidence, and subsiding recession fears.</w:t>
      </w:r>
    </w:p>
    <w:p w14:paraId="5D241D6C" w14:textId="77777777" w:rsidR="005E4B02" w:rsidRPr="005E4B02" w:rsidRDefault="005E4B02" w:rsidP="005E4B02">
      <w:pPr>
        <w:ind w:right="360"/>
        <w:rPr>
          <w:rFonts w:ascii="Avenir" w:eastAsia="Avenir" w:hAnsi="Avenir" w:cs="Avenir"/>
        </w:rPr>
      </w:pPr>
    </w:p>
    <w:p w14:paraId="3CA3E601" w14:textId="0BD5A524" w:rsidR="00701959" w:rsidRPr="00271D59" w:rsidRDefault="003D725D" w:rsidP="00FA6742">
      <w:pPr>
        <w:widowControl/>
        <w:spacing w:after="120"/>
        <w:ind w:right="360"/>
        <w:jc w:val="center"/>
        <w:rPr>
          <w:rFonts w:ascii="Avenir" w:eastAsia="Avenir" w:hAnsi="Avenir" w:cs="Avenir"/>
          <w:color w:val="58595B"/>
        </w:rPr>
      </w:pPr>
      <w:r>
        <w:rPr>
          <w:rFonts w:ascii="Avenir" w:eastAsia="Avenir" w:hAnsi="Avenir" w:cs="Avenir"/>
          <w:noProof/>
        </w:rPr>
        <w:drawing>
          <wp:inline distT="0" distB="0" distL="0" distR="0" wp14:anchorId="1E2CFF8E" wp14:editId="40D5C842">
            <wp:extent cx="6295946" cy="3543300"/>
            <wp:effectExtent l="0" t="0" r="0" b="0"/>
            <wp:docPr id="475211765" name="image1.png" descr="A graph with a 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aph with a line&#10;&#10;Description automatically generated"/>
                    <pic:cNvPicPr preferRelativeResize="0"/>
                  </pic:nvPicPr>
                  <pic:blipFill>
                    <a:blip r:embed="rId19"/>
                    <a:srcRect/>
                    <a:stretch>
                      <a:fillRect/>
                    </a:stretch>
                  </pic:blipFill>
                  <pic:spPr>
                    <a:xfrm>
                      <a:off x="0" y="0"/>
                      <a:ext cx="6307397" cy="3549745"/>
                    </a:xfrm>
                    <a:prstGeom prst="rect">
                      <a:avLst/>
                    </a:prstGeom>
                    <a:ln/>
                  </pic:spPr>
                </pic:pic>
              </a:graphicData>
            </a:graphic>
          </wp:inline>
        </w:drawing>
      </w:r>
    </w:p>
    <w:p w14:paraId="50E794CC" w14:textId="77777777" w:rsidR="00245C49" w:rsidRDefault="00245C49" w:rsidP="00245C49">
      <w:pPr>
        <w:ind w:left="360" w:right="360"/>
        <w:jc w:val="center"/>
        <w:rPr>
          <w:rFonts w:ascii="Avenir" w:eastAsia="Avenir" w:hAnsi="Avenir" w:cs="Avenir"/>
          <w:color w:val="0000FF"/>
          <w:u w:val="single"/>
        </w:rPr>
      </w:pPr>
      <w:r>
        <w:rPr>
          <w:rFonts w:ascii="Avenir" w:eastAsia="Avenir" w:hAnsi="Avenir" w:cs="Avenir"/>
        </w:rPr>
        <w:t xml:space="preserve">Source: </w:t>
      </w:r>
      <w:hyperlink r:id="rId20">
        <w:r>
          <w:rPr>
            <w:rFonts w:ascii="Avenir" w:eastAsia="Avenir" w:hAnsi="Avenir" w:cs="Avenir"/>
            <w:color w:val="0000FF"/>
            <w:u w:val="single"/>
          </w:rPr>
          <w:t>Wall Street Journal</w:t>
        </w:r>
      </w:hyperlink>
    </w:p>
    <w:p w14:paraId="32EAC41D" w14:textId="77777777" w:rsidR="00606E96" w:rsidRDefault="00606E96" w:rsidP="00EF4FDE">
      <w:pPr>
        <w:widowControl/>
        <w:spacing w:after="120"/>
        <w:ind w:left="90" w:right="360"/>
        <w:jc w:val="center"/>
        <w:rPr>
          <w:rFonts w:ascii="Avenir" w:eastAsia="Avenir" w:hAnsi="Avenir" w:cs="Avenir"/>
          <w:color w:val="58595B"/>
          <w:u w:val="single"/>
        </w:rPr>
      </w:pPr>
    </w:p>
    <w:p w14:paraId="4C663193" w14:textId="77777777" w:rsidR="00245C49" w:rsidRDefault="00245C49" w:rsidP="00EF4FDE">
      <w:pPr>
        <w:widowControl/>
        <w:spacing w:after="120"/>
        <w:ind w:left="90" w:right="360"/>
        <w:jc w:val="center"/>
        <w:rPr>
          <w:rFonts w:ascii="Avenir" w:eastAsia="Avenir" w:hAnsi="Avenir" w:cs="Avenir"/>
          <w:color w:val="58595B"/>
          <w:u w:val="single"/>
        </w:rPr>
      </w:pPr>
    </w:p>
    <w:p w14:paraId="20ED7992" w14:textId="77777777" w:rsidR="00245C49" w:rsidRPr="00271D59" w:rsidRDefault="00245C49" w:rsidP="00EF4FDE">
      <w:pPr>
        <w:widowControl/>
        <w:spacing w:after="120"/>
        <w:ind w:left="90" w:right="360"/>
        <w:jc w:val="center"/>
        <w:rPr>
          <w:rFonts w:ascii="Avenir" w:eastAsia="Avenir" w:hAnsi="Avenir" w:cs="Avenir"/>
          <w:color w:val="58595B"/>
          <w:u w:val="single"/>
        </w:rPr>
      </w:pPr>
    </w:p>
    <w:p w14:paraId="50DF590C" w14:textId="0E84468E" w:rsidR="007A0DA1" w:rsidRPr="007A0DA1" w:rsidRDefault="007A0DA1" w:rsidP="00703612">
      <w:pPr>
        <w:pStyle w:val="Heading2"/>
        <w:ind w:right="360"/>
        <w:rPr>
          <w:rFonts w:asciiTheme="minorHAnsi" w:eastAsia="Avenir" w:hAnsiTheme="minorHAnsi" w:cstheme="minorHAnsi"/>
          <w:color w:val="005EA4"/>
        </w:rPr>
      </w:pPr>
      <w:r w:rsidRPr="007A0DA1">
        <w:rPr>
          <w:rFonts w:asciiTheme="minorHAnsi" w:eastAsia="Avenir" w:hAnsiTheme="minorHAnsi" w:cstheme="minorHAnsi"/>
          <w:color w:val="005EA4"/>
        </w:rPr>
        <w:lastRenderedPageBreak/>
        <w:t>Fed Resumes Rates Hiking Efforts</w:t>
      </w:r>
    </w:p>
    <w:p w14:paraId="236809BD" w14:textId="77777777" w:rsidR="007A0DA1" w:rsidRPr="00FA6742" w:rsidRDefault="007A0DA1" w:rsidP="00703612">
      <w:pPr>
        <w:ind w:right="360"/>
        <w:rPr>
          <w:rFonts w:ascii="Avenir" w:eastAsia="Avenir" w:hAnsi="Avenir" w:cs="Avenir"/>
          <w:color w:val="58595B"/>
        </w:rPr>
      </w:pPr>
      <w:r w:rsidRPr="00FA6742">
        <w:rPr>
          <w:rFonts w:ascii="Avenir" w:eastAsia="Avenir" w:hAnsi="Avenir" w:cs="Avenir"/>
          <w:color w:val="58595B"/>
        </w:rPr>
        <w:t xml:space="preserve">As expected, the Fed approved a 25-basis point interest rate hike at its latest July meeting. The move brings the benchmark federal funds target rate to the 5.25% – 5.5% range, the highest level in more than two decades. With inflation still above the Fed's 2% target, the hike was highly anticipated and may not be the last one we see in 2023, particularly </w:t>
      </w:r>
      <w:proofErr w:type="gramStart"/>
      <w:r w:rsidRPr="00FA6742">
        <w:rPr>
          <w:rFonts w:ascii="Avenir" w:eastAsia="Avenir" w:hAnsi="Avenir" w:cs="Avenir"/>
          <w:color w:val="58595B"/>
        </w:rPr>
        <w:t>in light of</w:t>
      </w:r>
      <w:proofErr w:type="gramEnd"/>
      <w:r w:rsidRPr="00FA6742">
        <w:rPr>
          <w:rFonts w:ascii="Avenir" w:eastAsia="Avenir" w:hAnsi="Avenir" w:cs="Avenir"/>
          <w:color w:val="58595B"/>
        </w:rPr>
        <w:t xml:space="preserve"> recent economic data. Better-than-expected economic growth – as measured by Gross Domestic Product, or GDP – may be great news to some, but it also means the Fed’s work to slow economic activity (and thus lower prices) isn’t done yet. It can take months for the effects of monetary tightening to play out, so the Fed will closely monitor </w:t>
      </w:r>
      <w:proofErr w:type="gramStart"/>
      <w:r w:rsidRPr="00FA6742">
        <w:rPr>
          <w:rFonts w:ascii="Avenir" w:eastAsia="Avenir" w:hAnsi="Avenir" w:cs="Avenir"/>
          <w:color w:val="58595B"/>
        </w:rPr>
        <w:t>a number of</w:t>
      </w:r>
      <w:proofErr w:type="gramEnd"/>
      <w:r w:rsidRPr="00FA6742">
        <w:rPr>
          <w:rFonts w:ascii="Avenir" w:eastAsia="Avenir" w:hAnsi="Avenir" w:cs="Avenir"/>
          <w:color w:val="58595B"/>
        </w:rPr>
        <w:t xml:space="preserve"> economic metrics ahead of its September decision. According to Fed Chairman Jerome Powell:</w:t>
      </w:r>
    </w:p>
    <w:p w14:paraId="7A030734" w14:textId="77777777" w:rsidR="007A0DA1" w:rsidRPr="00FA6742" w:rsidRDefault="007A0DA1" w:rsidP="00703612">
      <w:pPr>
        <w:ind w:right="360"/>
        <w:rPr>
          <w:rFonts w:ascii="Avenir" w:eastAsia="Avenir" w:hAnsi="Avenir" w:cs="Avenir"/>
          <w:color w:val="58595B"/>
        </w:rPr>
      </w:pPr>
    </w:p>
    <w:p w14:paraId="694A4C1C" w14:textId="77777777" w:rsidR="007A0DA1" w:rsidRDefault="007A0DA1" w:rsidP="00703612">
      <w:pPr>
        <w:pBdr>
          <w:top w:val="nil"/>
          <w:left w:val="nil"/>
          <w:bottom w:val="nil"/>
          <w:right w:val="nil"/>
          <w:between w:val="nil"/>
        </w:pBdr>
        <w:ind w:right="360"/>
        <w:rPr>
          <w:rFonts w:ascii="Avenir" w:eastAsia="Avenir" w:hAnsi="Avenir" w:cs="Avenir"/>
          <w:i/>
          <w:color w:val="000000"/>
        </w:rPr>
      </w:pPr>
      <w:r w:rsidRPr="00FA6742">
        <w:rPr>
          <w:rFonts w:ascii="Avenir" w:eastAsia="Avenir" w:hAnsi="Avenir" w:cs="Avenir"/>
          <w:i/>
          <w:color w:val="58595B"/>
        </w:rPr>
        <w:t>It is certainly possible that we will raise rates again at the September meeting,” he said. “And I would also say it’s possible that we would choose to hold steady at that meeting. Source:</w:t>
      </w:r>
      <w:r>
        <w:rPr>
          <w:rFonts w:ascii="Avenir" w:eastAsia="Avenir" w:hAnsi="Avenir" w:cs="Avenir"/>
          <w:i/>
          <w:color w:val="000000"/>
        </w:rPr>
        <w:t xml:space="preserve"> </w:t>
      </w:r>
      <w:hyperlink r:id="rId21">
        <w:r>
          <w:rPr>
            <w:rFonts w:ascii="Avenir" w:eastAsia="Avenir" w:hAnsi="Avenir" w:cs="Avenir"/>
            <w:i/>
            <w:color w:val="0000FF"/>
            <w:u w:val="single"/>
          </w:rPr>
          <w:t>AP</w:t>
        </w:r>
      </w:hyperlink>
    </w:p>
    <w:p w14:paraId="38C75159" w14:textId="77777777" w:rsidR="00703612" w:rsidRDefault="00703612" w:rsidP="00703612">
      <w:pPr>
        <w:pStyle w:val="Heading2"/>
        <w:ind w:right="360"/>
        <w:rPr>
          <w:rFonts w:ascii="Avenir" w:eastAsia="Avenir" w:hAnsi="Avenir" w:cs="Avenir"/>
          <w:b w:val="0"/>
        </w:rPr>
      </w:pPr>
      <w:r w:rsidRPr="00703612">
        <w:rPr>
          <w:rFonts w:asciiTheme="minorHAnsi" w:eastAsia="Avenir" w:hAnsiTheme="minorHAnsi" w:cstheme="minorHAnsi"/>
          <w:color w:val="005EA4"/>
        </w:rPr>
        <w:t>Economic Growth Still Humming</w:t>
      </w:r>
    </w:p>
    <w:p w14:paraId="5188A4F6" w14:textId="77777777" w:rsidR="00703612" w:rsidRDefault="00703612" w:rsidP="00703612">
      <w:pPr>
        <w:ind w:right="360"/>
        <w:rPr>
          <w:rFonts w:ascii="Avenir" w:eastAsia="Avenir" w:hAnsi="Avenir" w:cs="Avenir"/>
        </w:rPr>
      </w:pPr>
      <w:r w:rsidRPr="00FA6742">
        <w:rPr>
          <w:rFonts w:ascii="Avenir" w:eastAsia="Avenir" w:hAnsi="Avenir" w:cs="Avenir"/>
          <w:color w:val="58595B"/>
        </w:rPr>
        <w:t>The latest report from the US Bureau of Economic Analysis showed that despite headwinds from rising interest rates, inflation, and uncertainty surrounding the possibility of a recession, the US economy continues to hum along. GDP grew at an annualized rate of 2.4% during the second quarter, faster than the prior quarter and significantly above economists’ estimates of a 1.8% bump. Driving these results were business investment, government expenditure, and consumer spending, the latter of which was up 1.6% for the period. And while the report shows that consumers – who account for 70% of economic activity – are still spending, the 1.6% increase falls short of the 4.2% delivered during the first quarter as shoppers pulled back on durable goods like washing machines and cars. Since the report shows cooling consumer demand along with moderate top-line growth, the Fed appears to be making meaningful progress toward its goal of taming inflation without throwing the economy into a recession. That economic resilience could also spell more interest rate hikes down the road. Source:</w:t>
      </w:r>
      <w:r>
        <w:rPr>
          <w:rFonts w:ascii="Avenir" w:eastAsia="Avenir" w:hAnsi="Avenir" w:cs="Avenir"/>
        </w:rPr>
        <w:t xml:space="preserve"> </w:t>
      </w:r>
      <w:hyperlink r:id="rId22">
        <w:r>
          <w:rPr>
            <w:rFonts w:ascii="Avenir" w:eastAsia="Avenir" w:hAnsi="Avenir" w:cs="Avenir"/>
            <w:color w:val="0000FF"/>
            <w:u w:val="single"/>
          </w:rPr>
          <w:t>CNN</w:t>
        </w:r>
      </w:hyperlink>
    </w:p>
    <w:p w14:paraId="578C83FB" w14:textId="77777777" w:rsidR="000A2F3C" w:rsidRPr="000A2F3C" w:rsidRDefault="000A2F3C" w:rsidP="000A2F3C">
      <w:pPr>
        <w:pStyle w:val="Heading2"/>
        <w:ind w:right="360"/>
        <w:rPr>
          <w:rFonts w:asciiTheme="minorHAnsi" w:eastAsia="Avenir" w:hAnsiTheme="minorHAnsi" w:cstheme="minorHAnsi"/>
          <w:color w:val="005EA4"/>
        </w:rPr>
      </w:pPr>
      <w:r w:rsidRPr="000A2F3C">
        <w:rPr>
          <w:rFonts w:asciiTheme="minorHAnsi" w:eastAsia="Avenir" w:hAnsiTheme="minorHAnsi" w:cstheme="minorHAnsi"/>
          <w:color w:val="005EA4"/>
        </w:rPr>
        <w:t xml:space="preserve">More Good Inflation News </w:t>
      </w:r>
    </w:p>
    <w:p w14:paraId="44B011D8" w14:textId="77777777" w:rsidR="000A2F3C" w:rsidRDefault="000A2F3C" w:rsidP="000A2F3C">
      <w:pPr>
        <w:ind w:right="360"/>
        <w:rPr>
          <w:rFonts w:ascii="Avenir" w:eastAsia="Avenir" w:hAnsi="Avenir" w:cs="Avenir"/>
        </w:rPr>
      </w:pPr>
      <w:r w:rsidRPr="00FA6742">
        <w:rPr>
          <w:rFonts w:ascii="Avenir" w:eastAsia="Avenir" w:hAnsi="Avenir" w:cs="Avenir"/>
          <w:color w:val="58595B"/>
        </w:rPr>
        <w:t xml:space="preserve">Inflation continues to dominate financial headlines but has shown signs of improving for several months now. While inflation remains above the Fed’s target rate of 2%, the latest report from the US Bureau of Labor Statistics suggests prices are coming back down to earth. The upbeat report showed that the Consumer Price Index (CPI) was up just 0.2% in June. Compared to a year ago, prices were up just 3%, the lowest year-over-year reading since March 2021. Both results beat Dow Jones estimates, which called for increases of 0.3% and 3.1%, respectively. Core CPI – which strips out the more volatile components of food and energy – was up 0.2% for the month and 4.8% compared to a year ago. Both those results beat estimates as well. Source: </w:t>
      </w:r>
      <w:hyperlink r:id="rId23">
        <w:r>
          <w:rPr>
            <w:rFonts w:ascii="Avenir" w:eastAsia="Avenir" w:hAnsi="Avenir" w:cs="Avenir"/>
            <w:color w:val="0000FF"/>
            <w:u w:val="single"/>
          </w:rPr>
          <w:t>CNBC</w:t>
        </w:r>
      </w:hyperlink>
    </w:p>
    <w:p w14:paraId="21110DDF" w14:textId="77777777" w:rsidR="00271D59" w:rsidRPr="00271D59" w:rsidRDefault="00271D59" w:rsidP="008F12F3">
      <w:pPr>
        <w:widowControl/>
        <w:spacing w:after="120"/>
        <w:ind w:right="360"/>
        <w:rPr>
          <w:rFonts w:ascii="Avenir" w:eastAsia="Avenir" w:hAnsi="Avenir" w:cs="Avenir"/>
        </w:rPr>
      </w:pPr>
    </w:p>
    <w:p w14:paraId="3C6903FF" w14:textId="7C1C0CC1" w:rsidR="00513DD7" w:rsidRDefault="00220A5E" w:rsidP="00513DD7">
      <w:pPr>
        <w:rPr>
          <w:rFonts w:cstheme="minorHAnsi"/>
          <w:color w:val="58595B"/>
          <w:sz w:val="21"/>
          <w:szCs w:val="21"/>
        </w:rPr>
      </w:pPr>
      <w:r>
        <w:rPr>
          <w:rFonts w:cstheme="minorHAnsi"/>
          <w:noProof/>
          <w:color w:val="58595B"/>
          <w:sz w:val="21"/>
          <w:szCs w:val="21"/>
        </w:rPr>
        <mc:AlternateContent>
          <mc:Choice Requires="wps">
            <w:drawing>
              <wp:anchor distT="0" distB="0" distL="114300" distR="114300" simplePos="0" relativeHeight="251658244" behindDoc="0" locked="0" layoutInCell="1" allowOverlap="1" wp14:anchorId="5B224D8F" wp14:editId="705123DB">
                <wp:simplePos x="0" y="0"/>
                <wp:positionH relativeFrom="column">
                  <wp:posOffset>0</wp:posOffset>
                </wp:positionH>
                <wp:positionV relativeFrom="paragraph">
                  <wp:posOffset>63500</wp:posOffset>
                </wp:positionV>
                <wp:extent cx="68389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838950" cy="0"/>
                        </a:xfrm>
                        <a:prstGeom prst="line">
                          <a:avLst/>
                        </a:prstGeom>
                        <a:ln>
                          <a:solidFill>
                            <a:srgbClr val="005EA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6C4271" id="Straight Connector 8"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5pt" to="53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" strokecolor="#005ea4"/>
            </w:pict>
          </mc:Fallback>
        </mc:AlternateContent>
      </w:r>
    </w:p>
    <w:p w14:paraId="68250FAA" w14:textId="77777777" w:rsidR="00764BD1" w:rsidRDefault="00764BD1" w:rsidP="00764BD1">
      <w:pPr>
        <w:pStyle w:val="BodyText"/>
        <w:rPr>
          <w:sz w:val="18"/>
        </w:rPr>
      </w:pPr>
    </w:p>
    <w:p w14:paraId="12F6D9F2" w14:textId="77777777" w:rsidR="00621409" w:rsidRDefault="00621409" w:rsidP="0095400E">
      <w:pPr>
        <w:ind w:right="360"/>
        <w:rPr>
          <w:rFonts w:ascii="Avenir" w:eastAsia="Avenir" w:hAnsi="Avenir" w:cs="Avenir"/>
          <w:b/>
          <w:color w:val="999999"/>
          <w:sz w:val="16"/>
          <w:szCs w:val="16"/>
        </w:rPr>
      </w:pPr>
      <w:r>
        <w:rPr>
          <w:rFonts w:ascii="Avenir" w:eastAsia="Avenir" w:hAnsi="Avenir" w:cs="Avenir"/>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Pr>
          <w:rFonts w:ascii="Avenir" w:eastAsia="Avenir" w:hAnsi="Avenir" w:cs="Avenir"/>
          <w:b/>
          <w:color w:val="999999"/>
          <w:sz w:val="16"/>
          <w:szCs w:val="16"/>
        </w:rPr>
        <w:t>Past performance does not guarantee future results.</w:t>
      </w:r>
    </w:p>
    <w:p w14:paraId="2313DC20" w14:textId="77777777" w:rsidR="00621409" w:rsidRDefault="00621409" w:rsidP="0095400E">
      <w:pPr>
        <w:ind w:right="360"/>
        <w:rPr>
          <w:rFonts w:ascii="Avenir" w:eastAsia="Avenir" w:hAnsi="Avenir" w:cs="Avenir"/>
          <w:b/>
          <w:color w:val="999999"/>
          <w:sz w:val="16"/>
          <w:szCs w:val="16"/>
        </w:rPr>
      </w:pPr>
    </w:p>
    <w:p w14:paraId="4BF08ED7" w14:textId="77777777" w:rsidR="00621409" w:rsidRDefault="00621409" w:rsidP="0095400E">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66A4B86D" w14:textId="77777777" w:rsidR="00621409" w:rsidRDefault="00621409" w:rsidP="0095400E">
      <w:pPr>
        <w:ind w:right="360"/>
        <w:rPr>
          <w:rFonts w:ascii="Avenir" w:eastAsia="Avenir" w:hAnsi="Avenir" w:cs="Avenir"/>
          <w:color w:val="999999"/>
          <w:sz w:val="16"/>
          <w:szCs w:val="16"/>
        </w:rPr>
      </w:pPr>
    </w:p>
    <w:p w14:paraId="58442422" w14:textId="77777777" w:rsidR="00621409" w:rsidRDefault="00621409" w:rsidP="0095400E">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492B13D4" w14:textId="77777777" w:rsidR="00621409" w:rsidRDefault="00621409" w:rsidP="0095400E">
      <w:pPr>
        <w:ind w:right="360"/>
        <w:rPr>
          <w:rFonts w:ascii="Avenir" w:eastAsia="Avenir" w:hAnsi="Avenir" w:cs="Avenir"/>
          <w:color w:val="999999"/>
          <w:sz w:val="16"/>
          <w:szCs w:val="16"/>
        </w:rPr>
      </w:pPr>
    </w:p>
    <w:p w14:paraId="14A47FF0" w14:textId="77777777" w:rsidR="00621409" w:rsidRDefault="00621409" w:rsidP="0095400E">
      <w:pPr>
        <w:ind w:right="360"/>
        <w:rPr>
          <w:rFonts w:ascii="Avenir" w:eastAsia="Avenir" w:hAnsi="Avenir" w:cs="Avenir"/>
          <w:color w:val="999999"/>
          <w:sz w:val="16"/>
          <w:szCs w:val="16"/>
        </w:rPr>
      </w:pPr>
      <w:r>
        <w:rPr>
          <w:rFonts w:ascii="Avenir" w:eastAsia="Avenir" w:hAnsi="Avenir" w:cs="Avenir"/>
          <w:color w:val="999999"/>
          <w:sz w:val="16"/>
          <w:szCs w:val="16"/>
        </w:rPr>
        <w:t xml:space="preserve">The Nasdaq Composite Index is a market-capitalization weighted index of </w:t>
      </w:r>
      <w:proofErr w:type="gramStart"/>
      <w:r>
        <w:rPr>
          <w:rFonts w:ascii="Avenir" w:eastAsia="Avenir" w:hAnsi="Avenir" w:cs="Avenir"/>
          <w:color w:val="999999"/>
          <w:sz w:val="16"/>
          <w:szCs w:val="16"/>
        </w:rPr>
        <w:t>the more</w:t>
      </w:r>
      <w:proofErr w:type="gramEnd"/>
      <w:r>
        <w:rPr>
          <w:rFonts w:ascii="Avenir" w:eastAsia="Avenir" w:hAnsi="Avenir" w:cs="Avenir"/>
          <w:color w:val="999999"/>
          <w:sz w:val="16"/>
          <w:szCs w:val="16"/>
        </w:rPr>
        <w:t xml:space="preserv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5CCDE73" w14:textId="77777777" w:rsidR="00621409" w:rsidRDefault="00621409" w:rsidP="0095400E">
      <w:pPr>
        <w:ind w:right="360"/>
        <w:rPr>
          <w:rFonts w:ascii="Avenir" w:eastAsia="Avenir" w:hAnsi="Avenir" w:cs="Avenir"/>
          <w:color w:val="999999"/>
          <w:sz w:val="16"/>
          <w:szCs w:val="16"/>
        </w:rPr>
      </w:pPr>
    </w:p>
    <w:p w14:paraId="1F7EA777" w14:textId="77777777" w:rsidR="00621409" w:rsidRDefault="00621409" w:rsidP="0095400E">
      <w:pPr>
        <w:ind w:right="360"/>
        <w:rPr>
          <w:rFonts w:ascii="Avenir" w:eastAsia="Avenir" w:hAnsi="Avenir" w:cs="Avenir"/>
          <w:color w:val="999999"/>
          <w:sz w:val="16"/>
          <w:szCs w:val="16"/>
        </w:rPr>
      </w:pPr>
      <w:r>
        <w:rPr>
          <w:rFonts w:ascii="Avenir" w:eastAsia="Avenir" w:hAnsi="Avenir" w:cs="Avenir"/>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58EB30DC" w14:textId="77777777" w:rsidR="00621409" w:rsidRDefault="00621409" w:rsidP="0095400E">
      <w:pPr>
        <w:ind w:right="360"/>
        <w:rPr>
          <w:rFonts w:ascii="Avenir" w:eastAsia="Avenir" w:hAnsi="Avenir" w:cs="Avenir"/>
          <w:color w:val="999999"/>
          <w:sz w:val="16"/>
          <w:szCs w:val="16"/>
        </w:rPr>
      </w:pPr>
    </w:p>
    <w:p w14:paraId="51BE3D57" w14:textId="77777777" w:rsidR="00621409" w:rsidRDefault="00621409" w:rsidP="0095400E">
      <w:pPr>
        <w:ind w:right="360"/>
        <w:rPr>
          <w:rFonts w:ascii="Avenir" w:eastAsia="Avenir" w:hAnsi="Avenir" w:cs="Avenir"/>
          <w:color w:val="999999"/>
          <w:sz w:val="16"/>
          <w:szCs w:val="16"/>
        </w:rPr>
      </w:pPr>
      <w:r>
        <w:rPr>
          <w:rFonts w:ascii="Avenir" w:eastAsia="Avenir" w:hAnsi="Avenir" w:cs="Avenir"/>
          <w:color w:val="999999"/>
          <w:sz w:val="16"/>
          <w:szCs w:val="16"/>
        </w:rPr>
        <w:lastRenderedPageBreak/>
        <w:t>The Gross Domestic Product Price Index (GDP) measures changes in the prices of goods and services produced in the United States, including those exported to other countries. Prices of imports are excluded.</w:t>
      </w:r>
    </w:p>
    <w:p w14:paraId="6B1E6272" w14:textId="77777777" w:rsidR="00FA6742" w:rsidRDefault="00FA6742" w:rsidP="0095400E">
      <w:pPr>
        <w:ind w:right="360"/>
        <w:rPr>
          <w:rFonts w:ascii="Avenir" w:eastAsia="Avenir" w:hAnsi="Avenir" w:cs="Avenir"/>
          <w:color w:val="999999"/>
          <w:sz w:val="16"/>
          <w:szCs w:val="16"/>
        </w:rPr>
      </w:pPr>
    </w:p>
    <w:p w14:paraId="0A440F25" w14:textId="77777777" w:rsidR="00621409" w:rsidRDefault="00621409" w:rsidP="0095400E">
      <w:pPr>
        <w:ind w:right="360"/>
        <w:rPr>
          <w:rFonts w:ascii="Avenir" w:eastAsia="Avenir" w:hAnsi="Avenir" w:cs="Avenir"/>
          <w:color w:val="999999"/>
          <w:sz w:val="16"/>
          <w:szCs w:val="16"/>
        </w:rPr>
      </w:pPr>
    </w:p>
    <w:p w14:paraId="7005BE6D" w14:textId="77777777" w:rsidR="00621409" w:rsidRDefault="00621409" w:rsidP="0095400E">
      <w:pPr>
        <w:ind w:right="360"/>
        <w:rPr>
          <w:rFonts w:ascii="Avenir" w:eastAsia="Avenir" w:hAnsi="Avenir" w:cs="Avenir"/>
        </w:rPr>
      </w:pPr>
      <w:r>
        <w:rPr>
          <w:rFonts w:ascii="Avenir" w:eastAsia="Avenir" w:hAnsi="Avenir" w:cs="Avenir"/>
          <w:color w:val="999999"/>
          <w:sz w:val="16"/>
          <w:szCs w:val="16"/>
        </w:rPr>
        <w:t>A Consumer Price Index (CPI) is a price index, the price of a weighted average market basket of consumer goods and services purchased by households. Changes in measured CPI track changes in prices over time.</w:t>
      </w:r>
    </w:p>
    <w:p w14:paraId="477F3B13" w14:textId="77777777" w:rsidR="00816C8D" w:rsidRDefault="00816C8D" w:rsidP="00816C8D">
      <w:pPr>
        <w:widowControl/>
        <w:rPr>
          <w:rFonts w:eastAsiaTheme="minorEastAsia" w:cstheme="minorHAnsi"/>
          <w:color w:val="58595B"/>
          <w:sz w:val="16"/>
          <w:szCs w:val="16"/>
        </w:rPr>
      </w:pPr>
    </w:p>
    <w:p w14:paraId="58C35E75" w14:textId="77777777" w:rsidR="00816C8D" w:rsidRDefault="00816C8D" w:rsidP="00816C8D">
      <w:pPr>
        <w:widowControl/>
        <w:rPr>
          <w:rFonts w:eastAsiaTheme="minorEastAsia" w:cstheme="minorHAnsi"/>
          <w:color w:val="58595B"/>
          <w:sz w:val="16"/>
          <w:szCs w:val="16"/>
        </w:rPr>
      </w:pPr>
    </w:p>
    <w:p w14:paraId="06E4F05F" w14:textId="77777777" w:rsidR="00816C8D" w:rsidRDefault="00816C8D" w:rsidP="00816C8D">
      <w:pPr>
        <w:widowControl/>
        <w:rPr>
          <w:rFonts w:eastAsiaTheme="minorEastAsia" w:cstheme="minorHAnsi"/>
          <w:color w:val="58595B"/>
          <w:sz w:val="16"/>
          <w:szCs w:val="16"/>
        </w:rPr>
      </w:pPr>
    </w:p>
    <w:p w14:paraId="6FF35AC6" w14:textId="77777777" w:rsidR="00816C8D" w:rsidRDefault="00816C8D" w:rsidP="00816C8D">
      <w:pPr>
        <w:widowControl/>
        <w:rPr>
          <w:rFonts w:eastAsiaTheme="minorEastAsia" w:cstheme="minorHAnsi"/>
          <w:color w:val="58595B"/>
          <w:sz w:val="16"/>
          <w:szCs w:val="16"/>
        </w:rPr>
      </w:pPr>
    </w:p>
    <w:p w14:paraId="0134376B" w14:textId="77777777" w:rsidR="00816C8D" w:rsidRDefault="00816C8D" w:rsidP="00816C8D">
      <w:pPr>
        <w:widowControl/>
        <w:rPr>
          <w:rFonts w:eastAsiaTheme="minorEastAsia" w:cstheme="minorHAnsi"/>
          <w:color w:val="58595B"/>
          <w:sz w:val="16"/>
          <w:szCs w:val="16"/>
        </w:rPr>
      </w:pPr>
    </w:p>
    <w:p w14:paraId="3F0CCE84" w14:textId="77777777" w:rsidR="00816C8D" w:rsidRDefault="00816C8D" w:rsidP="00816C8D">
      <w:pPr>
        <w:widowControl/>
        <w:rPr>
          <w:rFonts w:eastAsiaTheme="minorEastAsia" w:cstheme="minorHAnsi"/>
          <w:color w:val="58595B"/>
          <w:sz w:val="16"/>
          <w:szCs w:val="16"/>
        </w:rPr>
      </w:pPr>
    </w:p>
    <w:p w14:paraId="742F4281" w14:textId="77777777" w:rsidR="00816C8D" w:rsidRDefault="00816C8D" w:rsidP="00816C8D">
      <w:pPr>
        <w:widowControl/>
        <w:rPr>
          <w:rFonts w:eastAsiaTheme="minorEastAsia" w:cstheme="minorHAnsi"/>
          <w:color w:val="58595B"/>
          <w:sz w:val="16"/>
          <w:szCs w:val="16"/>
        </w:rPr>
      </w:pPr>
    </w:p>
    <w:p w14:paraId="424576D3" w14:textId="77777777" w:rsidR="00717379" w:rsidRDefault="00717379" w:rsidP="00816C8D">
      <w:pPr>
        <w:widowControl/>
        <w:rPr>
          <w:rFonts w:eastAsiaTheme="minorEastAsia" w:cstheme="minorHAnsi"/>
          <w:color w:val="58595B"/>
          <w:sz w:val="16"/>
          <w:szCs w:val="16"/>
        </w:rPr>
      </w:pPr>
    </w:p>
    <w:p w14:paraId="6D54C1BD" w14:textId="77777777" w:rsidR="00717379" w:rsidRDefault="00717379" w:rsidP="00816C8D">
      <w:pPr>
        <w:widowControl/>
        <w:rPr>
          <w:rFonts w:eastAsiaTheme="minorEastAsia" w:cstheme="minorHAnsi"/>
          <w:color w:val="58595B"/>
          <w:sz w:val="16"/>
          <w:szCs w:val="16"/>
        </w:rPr>
      </w:pPr>
    </w:p>
    <w:p w14:paraId="63E6FA8B" w14:textId="77777777" w:rsidR="00E25950" w:rsidRDefault="00E25950" w:rsidP="00816C8D">
      <w:pPr>
        <w:widowControl/>
        <w:rPr>
          <w:rFonts w:eastAsiaTheme="minorEastAsia" w:cstheme="minorHAnsi"/>
          <w:color w:val="58595B"/>
          <w:sz w:val="16"/>
          <w:szCs w:val="16"/>
        </w:rPr>
      </w:pPr>
    </w:p>
    <w:p w14:paraId="75F333EF" w14:textId="77777777" w:rsidR="00E25950" w:rsidRDefault="00E25950" w:rsidP="00816C8D">
      <w:pPr>
        <w:widowControl/>
        <w:rPr>
          <w:rFonts w:eastAsiaTheme="minorEastAsia" w:cstheme="minorHAnsi"/>
          <w:color w:val="58595B"/>
          <w:sz w:val="16"/>
          <w:szCs w:val="16"/>
        </w:rPr>
      </w:pPr>
    </w:p>
    <w:p w14:paraId="6E16D0FC" w14:textId="77777777" w:rsidR="00E25950" w:rsidRDefault="00E25950" w:rsidP="00816C8D">
      <w:pPr>
        <w:widowControl/>
        <w:rPr>
          <w:rFonts w:eastAsiaTheme="minorEastAsia" w:cstheme="minorHAnsi"/>
          <w:color w:val="58595B"/>
          <w:sz w:val="16"/>
          <w:szCs w:val="16"/>
        </w:rPr>
      </w:pPr>
    </w:p>
    <w:p w14:paraId="789091E9" w14:textId="77777777" w:rsidR="00E25950" w:rsidRDefault="00E25950" w:rsidP="00816C8D">
      <w:pPr>
        <w:widowControl/>
        <w:rPr>
          <w:rFonts w:eastAsiaTheme="minorEastAsia" w:cstheme="minorHAnsi"/>
          <w:color w:val="58595B"/>
          <w:sz w:val="16"/>
          <w:szCs w:val="16"/>
        </w:rPr>
      </w:pPr>
    </w:p>
    <w:p w14:paraId="2BE03195" w14:textId="77777777" w:rsidR="00E25950" w:rsidRDefault="00E25950" w:rsidP="00816C8D">
      <w:pPr>
        <w:widowControl/>
        <w:rPr>
          <w:rFonts w:eastAsiaTheme="minorEastAsia" w:cstheme="minorHAnsi"/>
          <w:color w:val="58595B"/>
          <w:sz w:val="16"/>
          <w:szCs w:val="16"/>
        </w:rPr>
      </w:pPr>
    </w:p>
    <w:p w14:paraId="311524BB" w14:textId="77777777" w:rsidR="00E25950" w:rsidRDefault="00E25950" w:rsidP="00816C8D">
      <w:pPr>
        <w:widowControl/>
        <w:rPr>
          <w:rFonts w:eastAsiaTheme="minorEastAsia" w:cstheme="minorHAnsi"/>
          <w:color w:val="58595B"/>
          <w:sz w:val="16"/>
          <w:szCs w:val="16"/>
        </w:rPr>
      </w:pPr>
    </w:p>
    <w:p w14:paraId="093CBC46" w14:textId="77777777" w:rsidR="00E25950" w:rsidRDefault="00E25950" w:rsidP="00816C8D">
      <w:pPr>
        <w:widowControl/>
        <w:rPr>
          <w:rFonts w:eastAsiaTheme="minorEastAsia" w:cstheme="minorHAnsi"/>
          <w:color w:val="58595B"/>
          <w:sz w:val="16"/>
          <w:szCs w:val="16"/>
        </w:rPr>
      </w:pPr>
    </w:p>
    <w:p w14:paraId="3D2F595D" w14:textId="77777777" w:rsidR="00E25950" w:rsidRDefault="00E25950" w:rsidP="00816C8D">
      <w:pPr>
        <w:widowControl/>
        <w:rPr>
          <w:rFonts w:eastAsiaTheme="minorEastAsia" w:cstheme="minorHAnsi"/>
          <w:color w:val="58595B"/>
          <w:sz w:val="16"/>
          <w:szCs w:val="16"/>
        </w:rPr>
      </w:pPr>
    </w:p>
    <w:p w14:paraId="5056174D" w14:textId="77777777" w:rsidR="00E25950" w:rsidRDefault="00E25950" w:rsidP="00816C8D">
      <w:pPr>
        <w:widowControl/>
        <w:rPr>
          <w:rFonts w:eastAsiaTheme="minorEastAsia" w:cstheme="minorHAnsi"/>
          <w:color w:val="58595B"/>
          <w:sz w:val="16"/>
          <w:szCs w:val="16"/>
        </w:rPr>
      </w:pPr>
    </w:p>
    <w:p w14:paraId="5E1BF9EC" w14:textId="77777777" w:rsidR="00E25950" w:rsidRDefault="00E25950" w:rsidP="00816C8D">
      <w:pPr>
        <w:widowControl/>
        <w:rPr>
          <w:rFonts w:eastAsiaTheme="minorEastAsia" w:cstheme="minorHAnsi"/>
          <w:color w:val="58595B"/>
          <w:sz w:val="16"/>
          <w:szCs w:val="16"/>
        </w:rPr>
      </w:pPr>
    </w:p>
    <w:p w14:paraId="77120442" w14:textId="77777777" w:rsidR="00E25950" w:rsidRDefault="00E25950" w:rsidP="00816C8D">
      <w:pPr>
        <w:widowControl/>
        <w:rPr>
          <w:rFonts w:eastAsiaTheme="minorEastAsia" w:cstheme="minorHAnsi"/>
          <w:color w:val="58595B"/>
          <w:sz w:val="16"/>
          <w:szCs w:val="16"/>
        </w:rPr>
      </w:pPr>
    </w:p>
    <w:p w14:paraId="1E782CE8" w14:textId="77777777" w:rsidR="00E25950" w:rsidRDefault="00E25950" w:rsidP="00816C8D">
      <w:pPr>
        <w:widowControl/>
        <w:rPr>
          <w:rFonts w:eastAsiaTheme="minorEastAsia" w:cstheme="minorHAnsi"/>
          <w:color w:val="58595B"/>
          <w:sz w:val="16"/>
          <w:szCs w:val="16"/>
        </w:rPr>
      </w:pPr>
    </w:p>
    <w:p w14:paraId="04F910D4" w14:textId="77777777" w:rsidR="00E25950" w:rsidRDefault="00E25950" w:rsidP="00816C8D">
      <w:pPr>
        <w:widowControl/>
        <w:rPr>
          <w:rFonts w:eastAsiaTheme="minorEastAsia" w:cstheme="minorHAnsi"/>
          <w:color w:val="58595B"/>
          <w:sz w:val="16"/>
          <w:szCs w:val="16"/>
        </w:rPr>
      </w:pPr>
    </w:p>
    <w:p w14:paraId="49D159D6" w14:textId="77777777" w:rsidR="00E25950" w:rsidRDefault="00E25950" w:rsidP="00816C8D">
      <w:pPr>
        <w:widowControl/>
        <w:rPr>
          <w:rFonts w:eastAsiaTheme="minorEastAsia" w:cstheme="minorHAnsi"/>
          <w:color w:val="58595B"/>
          <w:sz w:val="16"/>
          <w:szCs w:val="16"/>
        </w:rPr>
      </w:pPr>
    </w:p>
    <w:p w14:paraId="11C0766A" w14:textId="77777777" w:rsidR="00E25950" w:rsidRDefault="00E25950" w:rsidP="00816C8D">
      <w:pPr>
        <w:widowControl/>
        <w:rPr>
          <w:rFonts w:eastAsiaTheme="minorEastAsia" w:cstheme="minorHAnsi"/>
          <w:color w:val="58595B"/>
          <w:sz w:val="16"/>
          <w:szCs w:val="16"/>
        </w:rPr>
      </w:pPr>
    </w:p>
    <w:p w14:paraId="451E0E83" w14:textId="77777777" w:rsidR="00E25950" w:rsidRDefault="00E25950" w:rsidP="00816C8D">
      <w:pPr>
        <w:widowControl/>
        <w:rPr>
          <w:rFonts w:eastAsiaTheme="minorEastAsia" w:cstheme="minorHAnsi"/>
          <w:color w:val="58595B"/>
          <w:sz w:val="16"/>
          <w:szCs w:val="16"/>
        </w:rPr>
      </w:pPr>
    </w:p>
    <w:p w14:paraId="2CD09504" w14:textId="77777777" w:rsidR="00E25950" w:rsidRDefault="00E25950" w:rsidP="00816C8D">
      <w:pPr>
        <w:widowControl/>
        <w:rPr>
          <w:rFonts w:eastAsiaTheme="minorEastAsia" w:cstheme="minorHAnsi"/>
          <w:color w:val="58595B"/>
          <w:sz w:val="16"/>
          <w:szCs w:val="16"/>
        </w:rPr>
      </w:pPr>
    </w:p>
    <w:p w14:paraId="46431962" w14:textId="77777777" w:rsidR="00E25950" w:rsidRDefault="00E25950" w:rsidP="00816C8D">
      <w:pPr>
        <w:widowControl/>
        <w:rPr>
          <w:rFonts w:eastAsiaTheme="minorEastAsia" w:cstheme="minorHAnsi"/>
          <w:color w:val="58595B"/>
          <w:sz w:val="16"/>
          <w:szCs w:val="16"/>
        </w:rPr>
      </w:pPr>
    </w:p>
    <w:p w14:paraId="173A92A9" w14:textId="77777777" w:rsidR="003739E6" w:rsidRDefault="003739E6" w:rsidP="00816C8D">
      <w:pPr>
        <w:widowControl/>
        <w:rPr>
          <w:rFonts w:eastAsiaTheme="minorEastAsia" w:cstheme="minorHAnsi"/>
          <w:color w:val="58595B"/>
          <w:sz w:val="16"/>
          <w:szCs w:val="16"/>
        </w:rPr>
      </w:pPr>
    </w:p>
    <w:p w14:paraId="4FEA411E" w14:textId="77777777" w:rsidR="00E25950" w:rsidRDefault="00E25950" w:rsidP="00816C8D">
      <w:pPr>
        <w:widowControl/>
        <w:rPr>
          <w:rFonts w:eastAsiaTheme="minorEastAsia" w:cstheme="minorHAnsi"/>
          <w:color w:val="58595B"/>
          <w:sz w:val="16"/>
          <w:szCs w:val="16"/>
        </w:rPr>
      </w:pPr>
    </w:p>
    <w:p w14:paraId="31F4B667" w14:textId="77777777" w:rsidR="00E25950" w:rsidRDefault="00E25950" w:rsidP="00816C8D">
      <w:pPr>
        <w:widowControl/>
        <w:rPr>
          <w:rFonts w:eastAsiaTheme="minorEastAsia" w:cstheme="minorHAnsi"/>
          <w:color w:val="58595B"/>
          <w:sz w:val="16"/>
          <w:szCs w:val="16"/>
        </w:rPr>
      </w:pPr>
    </w:p>
    <w:p w14:paraId="0A01C155" w14:textId="77777777" w:rsidR="00E25950" w:rsidRDefault="00E25950" w:rsidP="00816C8D">
      <w:pPr>
        <w:widowControl/>
        <w:rPr>
          <w:rFonts w:eastAsiaTheme="minorEastAsia" w:cstheme="minorHAnsi"/>
          <w:color w:val="58595B"/>
          <w:sz w:val="16"/>
          <w:szCs w:val="16"/>
        </w:rPr>
      </w:pPr>
    </w:p>
    <w:p w14:paraId="01A7E297" w14:textId="77777777" w:rsidR="00717379" w:rsidRDefault="00717379" w:rsidP="00816C8D">
      <w:pPr>
        <w:widowControl/>
        <w:rPr>
          <w:rFonts w:eastAsiaTheme="minorEastAsia" w:cstheme="minorHAnsi"/>
          <w:color w:val="58595B"/>
          <w:sz w:val="16"/>
          <w:szCs w:val="16"/>
        </w:rPr>
      </w:pPr>
    </w:p>
    <w:p w14:paraId="20A71EF3" w14:textId="77777777" w:rsidR="00717379" w:rsidRDefault="00717379" w:rsidP="00816C8D">
      <w:pPr>
        <w:widowControl/>
        <w:rPr>
          <w:rFonts w:eastAsiaTheme="minorEastAsia" w:cstheme="minorHAnsi"/>
          <w:color w:val="58595B"/>
          <w:sz w:val="16"/>
          <w:szCs w:val="16"/>
        </w:rPr>
      </w:pPr>
    </w:p>
    <w:p w14:paraId="1142EAB8" w14:textId="77777777" w:rsidR="00FA6742" w:rsidRDefault="00FA6742" w:rsidP="00816C8D">
      <w:pPr>
        <w:widowControl/>
        <w:rPr>
          <w:rFonts w:eastAsiaTheme="minorEastAsia" w:cstheme="minorHAnsi"/>
          <w:color w:val="58595B"/>
          <w:sz w:val="16"/>
          <w:szCs w:val="16"/>
        </w:rPr>
      </w:pPr>
    </w:p>
    <w:p w14:paraId="00BFFD0E" w14:textId="77777777" w:rsidR="00FA6742" w:rsidRDefault="00FA6742" w:rsidP="00816C8D">
      <w:pPr>
        <w:widowControl/>
        <w:rPr>
          <w:rFonts w:eastAsiaTheme="minorEastAsia" w:cstheme="minorHAnsi"/>
          <w:color w:val="58595B"/>
          <w:sz w:val="16"/>
          <w:szCs w:val="16"/>
        </w:rPr>
      </w:pPr>
    </w:p>
    <w:p w14:paraId="39CCC16D" w14:textId="77777777" w:rsidR="00FA6742" w:rsidRDefault="00FA6742" w:rsidP="00816C8D">
      <w:pPr>
        <w:widowControl/>
        <w:rPr>
          <w:rFonts w:eastAsiaTheme="minorEastAsia" w:cstheme="minorHAnsi"/>
          <w:color w:val="58595B"/>
          <w:sz w:val="16"/>
          <w:szCs w:val="16"/>
        </w:rPr>
      </w:pPr>
    </w:p>
    <w:p w14:paraId="53098C58" w14:textId="77777777" w:rsidR="00FA6742" w:rsidRDefault="00FA6742" w:rsidP="00816C8D">
      <w:pPr>
        <w:widowControl/>
        <w:rPr>
          <w:rFonts w:eastAsiaTheme="minorEastAsia" w:cstheme="minorHAnsi"/>
          <w:color w:val="58595B"/>
          <w:sz w:val="16"/>
          <w:szCs w:val="16"/>
        </w:rPr>
      </w:pPr>
    </w:p>
    <w:p w14:paraId="0541F752" w14:textId="77777777" w:rsidR="00FA6742" w:rsidRDefault="00FA6742" w:rsidP="00816C8D">
      <w:pPr>
        <w:widowControl/>
        <w:rPr>
          <w:rFonts w:eastAsiaTheme="minorEastAsia" w:cstheme="minorHAnsi"/>
          <w:color w:val="58595B"/>
          <w:sz w:val="16"/>
          <w:szCs w:val="16"/>
        </w:rPr>
      </w:pPr>
    </w:p>
    <w:p w14:paraId="473D8A99" w14:textId="77777777" w:rsidR="00FA6742" w:rsidRDefault="00FA6742" w:rsidP="00816C8D">
      <w:pPr>
        <w:widowControl/>
        <w:rPr>
          <w:rFonts w:eastAsiaTheme="minorEastAsia" w:cstheme="minorHAnsi"/>
          <w:color w:val="58595B"/>
          <w:sz w:val="16"/>
          <w:szCs w:val="16"/>
        </w:rPr>
      </w:pPr>
    </w:p>
    <w:p w14:paraId="55456181" w14:textId="77777777" w:rsidR="00950001" w:rsidRDefault="00950001" w:rsidP="00816C8D">
      <w:pPr>
        <w:widowControl/>
        <w:rPr>
          <w:rFonts w:eastAsiaTheme="minorEastAsia" w:cstheme="minorHAnsi"/>
          <w:color w:val="58595B"/>
          <w:sz w:val="16"/>
          <w:szCs w:val="16"/>
        </w:rPr>
      </w:pPr>
    </w:p>
    <w:p w14:paraId="5883417E" w14:textId="77777777" w:rsidR="00816C8D" w:rsidRPr="00816C8D" w:rsidRDefault="00816C8D" w:rsidP="00816C8D">
      <w:pPr>
        <w:widowControl/>
        <w:rPr>
          <w:rFonts w:eastAsiaTheme="minorEastAsia" w:cstheme="minorHAnsi"/>
          <w:color w:val="58595B"/>
          <w:sz w:val="16"/>
          <w:szCs w:val="16"/>
        </w:rPr>
      </w:pPr>
    </w:p>
    <w:p w14:paraId="498CF98F" w14:textId="77777777" w:rsidR="00723E52" w:rsidRDefault="00723E52" w:rsidP="0087496B">
      <w:pPr>
        <w:spacing w:line="120" w:lineRule="auto"/>
        <w:rPr>
          <w:rFonts w:cstheme="minorHAnsi"/>
          <w:color w:val="58595B"/>
          <w:sz w:val="16"/>
          <w:szCs w:val="16"/>
        </w:rPr>
      </w:pPr>
    </w:p>
    <w:p w14:paraId="4E4A1256" w14:textId="77777777" w:rsidR="00F33E81" w:rsidRPr="00351C1E" w:rsidRDefault="00F33E81" w:rsidP="0087496B">
      <w:pPr>
        <w:spacing w:line="120" w:lineRule="auto"/>
        <w:rPr>
          <w:rFonts w:cstheme="minorHAnsi"/>
          <w:color w:val="58595B"/>
          <w:sz w:val="16"/>
          <w:szCs w:val="16"/>
        </w:rPr>
      </w:pPr>
    </w:p>
    <w:p w14:paraId="0BB0043C" w14:textId="0A91914D" w:rsidR="00834733" w:rsidRPr="003739E6" w:rsidRDefault="00486DA1" w:rsidP="00BF0243">
      <w:pPr>
        <w:widowControl/>
        <w:rPr>
          <w:rFonts w:cstheme="minorHAnsi"/>
          <w:color w:val="58595B"/>
          <w:sz w:val="16"/>
          <w:szCs w:val="16"/>
        </w:rPr>
      </w:pPr>
      <w:r w:rsidRPr="003739E6">
        <w:rPr>
          <w:rFonts w:cstheme="minorHAnsi"/>
          <w:color w:val="58595B"/>
          <w:sz w:val="16"/>
          <w:szCs w:val="16"/>
        </w:rPr>
        <w:t>©20</w:t>
      </w:r>
      <w:r w:rsidR="00834733" w:rsidRPr="003739E6">
        <w:rPr>
          <w:rFonts w:cstheme="minorHAnsi"/>
          <w:color w:val="58595B"/>
          <w:sz w:val="16"/>
          <w:szCs w:val="16"/>
        </w:rPr>
        <w:t>2</w:t>
      </w:r>
      <w:r w:rsidR="00DE2617" w:rsidRPr="003739E6">
        <w:rPr>
          <w:rFonts w:cstheme="minorHAnsi"/>
          <w:color w:val="58595B"/>
          <w:sz w:val="16"/>
          <w:szCs w:val="16"/>
        </w:rPr>
        <w:t>3</w:t>
      </w:r>
      <w:r w:rsidRPr="003739E6">
        <w:rPr>
          <w:rFonts w:cstheme="minorHAnsi"/>
          <w:color w:val="58595B"/>
          <w:sz w:val="16"/>
          <w:szCs w:val="16"/>
        </w:rPr>
        <w:t xml:space="preserve"> Wealthcare Capital Management LLC </w:t>
      </w:r>
      <w:r w:rsidR="00E249E2" w:rsidRPr="003739E6">
        <w:rPr>
          <w:rFonts w:cstheme="minorHAnsi"/>
          <w:color w:val="58595B"/>
          <w:sz w:val="16"/>
          <w:szCs w:val="16"/>
        </w:rPr>
        <w:t xml:space="preserve">and Wealthcare Advisory Partners LLC </w:t>
      </w:r>
      <w:r w:rsidRPr="003739E6">
        <w:rPr>
          <w:rFonts w:cstheme="minorHAnsi"/>
          <w:color w:val="58595B"/>
          <w:sz w:val="16"/>
          <w:szCs w:val="16"/>
        </w:rPr>
        <w:t>(</w:t>
      </w:r>
      <w:r w:rsidR="00E15CC8" w:rsidRPr="003739E6">
        <w:rPr>
          <w:rFonts w:cstheme="minorHAnsi"/>
          <w:color w:val="58595B"/>
          <w:sz w:val="16"/>
          <w:szCs w:val="16"/>
        </w:rPr>
        <w:t>"</w:t>
      </w:r>
      <w:r w:rsidRPr="003739E6">
        <w:rPr>
          <w:rFonts w:cstheme="minorHAnsi"/>
          <w:color w:val="58595B"/>
          <w:sz w:val="16"/>
          <w:szCs w:val="16"/>
        </w:rPr>
        <w:t>Wealthcare</w:t>
      </w:r>
      <w:r w:rsidR="00E15CC8" w:rsidRPr="003739E6">
        <w:rPr>
          <w:rFonts w:cstheme="minorHAnsi"/>
          <w:color w:val="58595B"/>
          <w:sz w:val="16"/>
          <w:szCs w:val="16"/>
        </w:rPr>
        <w:t>"</w:t>
      </w:r>
      <w:r w:rsidRPr="003739E6">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3739E6" w:rsidRDefault="00FB63C1" w:rsidP="00524C3C">
      <w:pPr>
        <w:widowControl/>
        <w:spacing w:line="120" w:lineRule="auto"/>
        <w:rPr>
          <w:rFonts w:cstheme="minorHAnsi"/>
          <w:color w:val="58595B"/>
          <w:sz w:val="16"/>
          <w:szCs w:val="16"/>
        </w:rPr>
      </w:pPr>
    </w:p>
    <w:p w14:paraId="48BBA534" w14:textId="7EFF1581" w:rsidR="00834733" w:rsidRPr="003739E6" w:rsidRDefault="00486DA1" w:rsidP="00BF0243">
      <w:pPr>
        <w:pStyle w:val="BodyText"/>
        <w:widowControl/>
        <w:ind w:left="0"/>
        <w:rPr>
          <w:rFonts w:asciiTheme="minorHAnsi" w:eastAsiaTheme="minorEastAsia" w:hAnsiTheme="minorHAnsi" w:cstheme="minorHAnsi"/>
          <w:color w:val="58595B"/>
          <w:sz w:val="16"/>
          <w:szCs w:val="16"/>
        </w:rPr>
      </w:pPr>
      <w:proofErr w:type="gramStart"/>
      <w:r w:rsidRPr="003739E6">
        <w:rPr>
          <w:rFonts w:asciiTheme="minorHAnsi" w:eastAsiaTheme="minorEastAsia" w:hAnsiTheme="minorHAnsi" w:cstheme="minorHAnsi"/>
          <w:color w:val="58595B"/>
          <w:sz w:val="16"/>
          <w:szCs w:val="16"/>
        </w:rPr>
        <w:t>Information</w:t>
      </w:r>
      <w:proofErr w:type="gramEnd"/>
      <w:r w:rsidRPr="003739E6">
        <w:rPr>
          <w:rFonts w:asciiTheme="minorHAnsi" w:eastAsiaTheme="minorEastAsia" w:hAnsiTheme="minorHAnsi" w:cstheme="minorHAnsi"/>
          <w:color w:val="58595B"/>
          <w:sz w:val="16"/>
          <w:szCs w:val="16"/>
        </w:rPr>
        <w:t xml:space="preserve"> contained herein is at a point in time and subject to change without notice. Information is derived from sources which are believed to be reliable but are not independently audited. </w:t>
      </w:r>
    </w:p>
    <w:p w14:paraId="3C68B9A3" w14:textId="77777777" w:rsidR="00FB63C1" w:rsidRPr="003739E6"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3739E6" w:rsidRDefault="00486DA1" w:rsidP="00BF0243">
      <w:pPr>
        <w:widowControl/>
        <w:rPr>
          <w:rFonts w:eastAsiaTheme="minorEastAsia" w:cstheme="minorHAnsi"/>
          <w:color w:val="58595B"/>
          <w:sz w:val="16"/>
          <w:szCs w:val="16"/>
        </w:rPr>
      </w:pPr>
      <w:r w:rsidRPr="003739E6">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3739E6">
        <w:rPr>
          <w:rFonts w:eastAsiaTheme="minorEastAsia" w:cstheme="minorHAnsi"/>
          <w:iCs/>
          <w:color w:val="58595B"/>
          <w:sz w:val="16"/>
          <w:szCs w:val="16"/>
        </w:rPr>
        <w:t xml:space="preserve">or guarantee a client will in all </w:t>
      </w:r>
      <w:r w:rsidRPr="003739E6">
        <w:rPr>
          <w:rFonts w:eastAsiaTheme="minorEastAsia" w:cstheme="minorHAnsi"/>
          <w:color w:val="58595B"/>
          <w:sz w:val="16"/>
          <w:szCs w:val="16"/>
        </w:rPr>
        <w:t>circumstances of changing personal financial goals and market conditions be able to remain in a client's Wealthcare Plan Comfort Zone®.</w:t>
      </w:r>
      <w:r w:rsidRPr="003739E6">
        <w:rPr>
          <w:rFonts w:eastAsiaTheme="minorEastAsia" w:cstheme="minorHAnsi"/>
          <w:i/>
          <w:iCs/>
          <w:color w:val="58595B"/>
          <w:sz w:val="16"/>
          <w:szCs w:val="16"/>
        </w:rPr>
        <w:t xml:space="preserve"> </w:t>
      </w:r>
      <w:r w:rsidRPr="003739E6">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3739E6">
        <w:rPr>
          <w:rFonts w:eastAsiaTheme="minorEastAsia" w:cstheme="minorHAnsi"/>
          <w:color w:val="58595B"/>
          <w:sz w:val="16"/>
          <w:szCs w:val="16"/>
        </w:rPr>
        <w:t>period of time</w:t>
      </w:r>
      <w:proofErr w:type="gramEnd"/>
      <w:r w:rsidRPr="003739E6">
        <w:rPr>
          <w:rFonts w:eastAsiaTheme="minorEastAsia" w:cstheme="minorHAnsi"/>
          <w:color w:val="58595B"/>
          <w:sz w:val="16"/>
          <w:szCs w:val="16"/>
        </w:rPr>
        <w:t xml:space="preserve">.  </w:t>
      </w:r>
    </w:p>
    <w:p w14:paraId="35D64863" w14:textId="77777777" w:rsidR="00B42635" w:rsidRPr="00B42635" w:rsidRDefault="00B42635" w:rsidP="00BF0243">
      <w:pPr>
        <w:widowControl/>
        <w:rPr>
          <w:rFonts w:eastAsiaTheme="minorEastAsia" w:cstheme="minorHAnsi"/>
          <w:color w:val="58595B"/>
          <w:sz w:val="10"/>
          <w:szCs w:val="10"/>
        </w:rPr>
      </w:pPr>
    </w:p>
    <w:p w14:paraId="3245EC30" w14:textId="77777777" w:rsidR="00C519BC" w:rsidRPr="00770A5E" w:rsidRDefault="00C519BC" w:rsidP="00BF0243">
      <w:pPr>
        <w:widowControl/>
        <w:rPr>
          <w:rFonts w:eastAsiaTheme="minorEastAsia" w:cstheme="minorHAnsi"/>
          <w:color w:val="58595B"/>
          <w:sz w:val="16"/>
          <w:szCs w:val="16"/>
        </w:rPr>
      </w:pPr>
    </w:p>
    <w:p w14:paraId="0C7B813D" w14:textId="22FD243C" w:rsidR="005D075C" w:rsidRDefault="00486DA1" w:rsidP="00BF0243">
      <w:pPr>
        <w:jc w:val="center"/>
        <w:rPr>
          <w:rFonts w:eastAsia="Calibri" w:cstheme="minorHAnsi"/>
          <w:color w:val="58595B"/>
          <w:sz w:val="20"/>
          <w:szCs w:val="20"/>
        </w:rPr>
      </w:pPr>
      <w:r w:rsidRPr="00770A5E">
        <w:rPr>
          <w:rFonts w:eastAsia="Calibri" w:cstheme="minorHAnsi"/>
          <w:noProof/>
          <w:color w:val="58595B"/>
          <w:sz w:val="20"/>
          <w:szCs w:val="20"/>
        </w:rPr>
        <w:drawing>
          <wp:inline distT="0" distB="0" distL="0" distR="0" wp14:anchorId="6FB7838E" wp14:editId="17E171F7">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770A5E" w:rsidRDefault="00420166" w:rsidP="00BF0243">
      <w:pPr>
        <w:jc w:val="center"/>
        <w:rPr>
          <w:rFonts w:eastAsia="Calibri" w:cstheme="minorHAnsi"/>
          <w:color w:val="58595B"/>
          <w:sz w:val="20"/>
          <w:szCs w:val="20"/>
        </w:rPr>
      </w:pPr>
    </w:p>
    <w:p w14:paraId="10C4F9F5" w14:textId="77777777" w:rsidR="0075254C" w:rsidRPr="00770A5E" w:rsidRDefault="0075254C" w:rsidP="00BF0243">
      <w:pPr>
        <w:jc w:val="center"/>
        <w:rPr>
          <w:rFonts w:eastAsia="Calibri" w:cstheme="minorHAnsi"/>
          <w:color w:val="58595B"/>
          <w:sz w:val="10"/>
          <w:szCs w:val="10"/>
        </w:rPr>
      </w:pPr>
    </w:p>
    <w:p w14:paraId="4E3A0774" w14:textId="54C850ED" w:rsidR="00DC061F" w:rsidRPr="00770A5E" w:rsidRDefault="00486DA1" w:rsidP="00BF0243">
      <w:pPr>
        <w:pStyle w:val="BodyText"/>
        <w:ind w:left="0"/>
        <w:jc w:val="center"/>
        <w:rPr>
          <w:rFonts w:asciiTheme="minorHAnsi" w:hAnsiTheme="minorHAnsi" w:cstheme="minorHAnsi"/>
          <w:color w:val="58595B"/>
          <w:spacing w:val="-1"/>
        </w:rPr>
      </w:pPr>
      <w:r w:rsidRPr="00770A5E">
        <w:rPr>
          <w:rFonts w:asciiTheme="minorHAnsi" w:hAnsiTheme="minorHAnsi" w:cstheme="minorHAnsi"/>
          <w:color w:val="58595B"/>
        </w:rPr>
        <w:t>Two James Center</w:t>
      </w:r>
      <w:r w:rsidR="00CC2D02" w:rsidRPr="00770A5E">
        <w:rPr>
          <w:rFonts w:asciiTheme="minorHAnsi" w:hAnsiTheme="minorHAnsi" w:cstheme="minorHAnsi"/>
          <w:color w:val="58595B"/>
        </w:rPr>
        <w:t>,</w:t>
      </w:r>
      <w:r w:rsidRPr="00770A5E">
        <w:rPr>
          <w:rFonts w:asciiTheme="minorHAnsi" w:hAnsiTheme="minorHAnsi" w:cstheme="minorHAnsi"/>
          <w:color w:val="58595B"/>
        </w:rPr>
        <w:t xml:space="preserve"> 102</w:t>
      </w:r>
      <w:r w:rsidR="00CC2D02" w:rsidRPr="00770A5E">
        <w:rPr>
          <w:rFonts w:asciiTheme="minorHAnsi" w:hAnsiTheme="minorHAnsi" w:cstheme="minorHAnsi"/>
          <w:color w:val="58595B"/>
        </w:rPr>
        <w:t>1</w:t>
      </w:r>
      <w:r w:rsidRPr="00770A5E">
        <w:rPr>
          <w:rFonts w:asciiTheme="minorHAnsi" w:hAnsiTheme="minorHAnsi" w:cstheme="minorHAnsi"/>
          <w:color w:val="58595B"/>
        </w:rPr>
        <w:t xml:space="preserve"> East Cary Street, Suite </w:t>
      </w:r>
      <w:r w:rsidR="00BB7912">
        <w:rPr>
          <w:rFonts w:asciiTheme="minorHAnsi" w:hAnsiTheme="minorHAnsi" w:cstheme="minorHAnsi"/>
          <w:color w:val="58595B"/>
        </w:rPr>
        <w:t>702</w:t>
      </w:r>
      <w:r w:rsidRPr="00770A5E">
        <w:rPr>
          <w:rFonts w:asciiTheme="minorHAnsi" w:hAnsiTheme="minorHAnsi" w:cstheme="minorHAnsi"/>
          <w:color w:val="58595B"/>
        </w:rPr>
        <w:t xml:space="preserve"> | </w:t>
      </w:r>
      <w:r w:rsidRPr="00770A5E">
        <w:rPr>
          <w:rFonts w:asciiTheme="minorHAnsi" w:hAnsiTheme="minorHAnsi" w:cstheme="minorHAnsi"/>
          <w:color w:val="58595B"/>
          <w:spacing w:val="-1"/>
        </w:rPr>
        <w:t>RICHMOND,</w:t>
      </w:r>
      <w:r w:rsidRPr="00770A5E">
        <w:rPr>
          <w:rFonts w:asciiTheme="minorHAnsi" w:hAnsiTheme="minorHAnsi" w:cstheme="minorHAnsi"/>
          <w:color w:val="58595B"/>
        </w:rPr>
        <w:t xml:space="preserve"> </w:t>
      </w:r>
      <w:r w:rsidRPr="00770A5E">
        <w:rPr>
          <w:rFonts w:asciiTheme="minorHAnsi" w:hAnsiTheme="minorHAnsi" w:cstheme="minorHAnsi"/>
          <w:color w:val="58595B"/>
          <w:spacing w:val="-6"/>
        </w:rPr>
        <w:t>VA</w:t>
      </w:r>
      <w:r w:rsidRPr="00770A5E">
        <w:rPr>
          <w:rFonts w:asciiTheme="minorHAnsi" w:hAnsiTheme="minorHAnsi" w:cstheme="minorHAnsi"/>
          <w:color w:val="58595B"/>
        </w:rPr>
        <w:t xml:space="preserve"> 23219 | </w:t>
      </w:r>
      <w:r w:rsidRPr="00770A5E">
        <w:rPr>
          <w:rFonts w:asciiTheme="minorHAnsi" w:hAnsiTheme="minorHAnsi" w:cstheme="minorHAnsi"/>
          <w:color w:val="58595B"/>
          <w:spacing w:val="-1"/>
        </w:rPr>
        <w:t>804.644.4711</w:t>
      </w:r>
    </w:p>
    <w:p w14:paraId="498CF9B2" w14:textId="79587C41" w:rsidR="00310271" w:rsidRPr="00770A5E" w:rsidRDefault="00486DA1" w:rsidP="00BF0243">
      <w:pPr>
        <w:pStyle w:val="BodyText"/>
        <w:ind w:left="0"/>
        <w:jc w:val="center"/>
        <w:rPr>
          <w:rFonts w:asciiTheme="minorHAnsi" w:eastAsia="Proxima Nova Rg" w:hAnsiTheme="minorHAnsi" w:cstheme="minorHAnsi"/>
          <w:color w:val="58595B"/>
        </w:rPr>
      </w:pPr>
      <w:r w:rsidRPr="00770A5E">
        <w:rPr>
          <w:rFonts w:asciiTheme="minorHAnsi" w:eastAsia="Proxima Nova Rg" w:hAnsiTheme="minorHAnsi" w:cstheme="minorHAnsi"/>
          <w:caps/>
          <w:color w:val="58595B"/>
        </w:rPr>
        <w:t>Wealthcare</w:t>
      </w:r>
      <w:r w:rsidR="005B6E90" w:rsidRPr="00770A5E">
        <w:rPr>
          <w:rFonts w:asciiTheme="minorHAnsi" w:eastAsia="Proxima Nova Rg" w:hAnsiTheme="minorHAnsi" w:cstheme="minorHAnsi"/>
          <w:caps/>
          <w:color w:val="58595B"/>
        </w:rPr>
        <w:t>GDX</w:t>
      </w:r>
      <w:r w:rsidRPr="00770A5E">
        <w:rPr>
          <w:rFonts w:asciiTheme="minorHAnsi" w:eastAsia="Proxima Nova Rg" w:hAnsiTheme="minorHAnsi" w:cstheme="minorHAnsi"/>
          <w:caps/>
          <w:color w:val="58595B"/>
        </w:rPr>
        <w:t>.com</w:t>
      </w:r>
    </w:p>
    <w:sectPr w:rsidR="00310271" w:rsidRPr="00770A5E" w:rsidSect="00305BFE">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B53A" w14:textId="77777777" w:rsidR="00465AA5" w:rsidRDefault="00465AA5">
      <w:r>
        <w:separator/>
      </w:r>
    </w:p>
  </w:endnote>
  <w:endnote w:type="continuationSeparator" w:id="0">
    <w:p w14:paraId="732B059A" w14:textId="77777777" w:rsidR="00465AA5" w:rsidRDefault="00465AA5">
      <w:r>
        <w:continuationSeparator/>
      </w:r>
    </w:p>
  </w:endnote>
  <w:endnote w:type="continuationNotice" w:id="1">
    <w:p w14:paraId="3D4A2CCB" w14:textId="77777777" w:rsidR="00465AA5" w:rsidRDefault="00465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705A" w14:textId="77777777" w:rsidR="00465AA5" w:rsidRDefault="00465AA5">
      <w:r>
        <w:separator/>
      </w:r>
    </w:p>
  </w:footnote>
  <w:footnote w:type="continuationSeparator" w:id="0">
    <w:p w14:paraId="7CFA8973" w14:textId="77777777" w:rsidR="00465AA5" w:rsidRDefault="00465AA5">
      <w:r>
        <w:continuationSeparator/>
      </w:r>
    </w:p>
  </w:footnote>
  <w:footnote w:type="continuationNotice" w:id="1">
    <w:p w14:paraId="422BFF19" w14:textId="77777777" w:rsidR="00465AA5" w:rsidRDefault="00465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qwFAC7pJv0tAAAA"/>
  </w:docVars>
  <w:rsids>
    <w:rsidRoot w:val="00310271"/>
    <w:rsid w:val="000036B2"/>
    <w:rsid w:val="00025049"/>
    <w:rsid w:val="00026505"/>
    <w:rsid w:val="00027D08"/>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C1420"/>
    <w:rsid w:val="000C2111"/>
    <w:rsid w:val="000C4725"/>
    <w:rsid w:val="000C77BD"/>
    <w:rsid w:val="000E6258"/>
    <w:rsid w:val="000E6D97"/>
    <w:rsid w:val="000F3D40"/>
    <w:rsid w:val="000F7EFA"/>
    <w:rsid w:val="001014AE"/>
    <w:rsid w:val="00105411"/>
    <w:rsid w:val="00113BE6"/>
    <w:rsid w:val="0011558E"/>
    <w:rsid w:val="00116740"/>
    <w:rsid w:val="00120010"/>
    <w:rsid w:val="001217A4"/>
    <w:rsid w:val="0012269E"/>
    <w:rsid w:val="00123D97"/>
    <w:rsid w:val="00132058"/>
    <w:rsid w:val="001320EA"/>
    <w:rsid w:val="00140E81"/>
    <w:rsid w:val="00141D14"/>
    <w:rsid w:val="001532A5"/>
    <w:rsid w:val="001534A4"/>
    <w:rsid w:val="001537A4"/>
    <w:rsid w:val="00153F4A"/>
    <w:rsid w:val="00161B54"/>
    <w:rsid w:val="00162118"/>
    <w:rsid w:val="001744D6"/>
    <w:rsid w:val="0018292B"/>
    <w:rsid w:val="00183C38"/>
    <w:rsid w:val="00194883"/>
    <w:rsid w:val="001A407F"/>
    <w:rsid w:val="001C0EE6"/>
    <w:rsid w:val="001C4696"/>
    <w:rsid w:val="001C50E7"/>
    <w:rsid w:val="001D1332"/>
    <w:rsid w:val="001D359E"/>
    <w:rsid w:val="001D37EA"/>
    <w:rsid w:val="001E1889"/>
    <w:rsid w:val="001E3219"/>
    <w:rsid w:val="001E5301"/>
    <w:rsid w:val="001F519C"/>
    <w:rsid w:val="002043A1"/>
    <w:rsid w:val="00206D28"/>
    <w:rsid w:val="00211CF4"/>
    <w:rsid w:val="002161F9"/>
    <w:rsid w:val="00220A5E"/>
    <w:rsid w:val="00223068"/>
    <w:rsid w:val="0023185E"/>
    <w:rsid w:val="002320E6"/>
    <w:rsid w:val="00234D23"/>
    <w:rsid w:val="00245C49"/>
    <w:rsid w:val="0024623E"/>
    <w:rsid w:val="00247F2D"/>
    <w:rsid w:val="00252CCC"/>
    <w:rsid w:val="00256B28"/>
    <w:rsid w:val="002640B5"/>
    <w:rsid w:val="00271D59"/>
    <w:rsid w:val="00276A7C"/>
    <w:rsid w:val="00286212"/>
    <w:rsid w:val="0029529F"/>
    <w:rsid w:val="002A38CA"/>
    <w:rsid w:val="002B07E7"/>
    <w:rsid w:val="002C648F"/>
    <w:rsid w:val="002D2361"/>
    <w:rsid w:val="002E3928"/>
    <w:rsid w:val="002F2A80"/>
    <w:rsid w:val="00300681"/>
    <w:rsid w:val="003044A4"/>
    <w:rsid w:val="003047D1"/>
    <w:rsid w:val="00305BFE"/>
    <w:rsid w:val="00310271"/>
    <w:rsid w:val="0031043D"/>
    <w:rsid w:val="0032586A"/>
    <w:rsid w:val="00326B55"/>
    <w:rsid w:val="00351C1E"/>
    <w:rsid w:val="003524EF"/>
    <w:rsid w:val="00366F01"/>
    <w:rsid w:val="00373420"/>
    <w:rsid w:val="003737D4"/>
    <w:rsid w:val="003739E6"/>
    <w:rsid w:val="00374837"/>
    <w:rsid w:val="00377EE1"/>
    <w:rsid w:val="0038183B"/>
    <w:rsid w:val="00396F47"/>
    <w:rsid w:val="003A021A"/>
    <w:rsid w:val="003A7A3C"/>
    <w:rsid w:val="003B6D62"/>
    <w:rsid w:val="003B727B"/>
    <w:rsid w:val="003B730E"/>
    <w:rsid w:val="003C70C1"/>
    <w:rsid w:val="003C7B91"/>
    <w:rsid w:val="003D725D"/>
    <w:rsid w:val="003F0914"/>
    <w:rsid w:val="00400BA3"/>
    <w:rsid w:val="00401EB9"/>
    <w:rsid w:val="00420166"/>
    <w:rsid w:val="004325CE"/>
    <w:rsid w:val="00435035"/>
    <w:rsid w:val="00437778"/>
    <w:rsid w:val="00440FCC"/>
    <w:rsid w:val="00445FF9"/>
    <w:rsid w:val="004529C8"/>
    <w:rsid w:val="004575D4"/>
    <w:rsid w:val="00457719"/>
    <w:rsid w:val="00457A04"/>
    <w:rsid w:val="00461CDD"/>
    <w:rsid w:val="00462BDA"/>
    <w:rsid w:val="004631A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D528B"/>
    <w:rsid w:val="004D7659"/>
    <w:rsid w:val="004E2D55"/>
    <w:rsid w:val="004E2DF5"/>
    <w:rsid w:val="004E43EA"/>
    <w:rsid w:val="004F22CF"/>
    <w:rsid w:val="004F6419"/>
    <w:rsid w:val="004F6634"/>
    <w:rsid w:val="00512247"/>
    <w:rsid w:val="00513DD7"/>
    <w:rsid w:val="0052404F"/>
    <w:rsid w:val="0052429D"/>
    <w:rsid w:val="00524C3C"/>
    <w:rsid w:val="00545C4C"/>
    <w:rsid w:val="00546F98"/>
    <w:rsid w:val="00552197"/>
    <w:rsid w:val="005537A6"/>
    <w:rsid w:val="00555404"/>
    <w:rsid w:val="00556280"/>
    <w:rsid w:val="005625F5"/>
    <w:rsid w:val="00562D7C"/>
    <w:rsid w:val="00570973"/>
    <w:rsid w:val="0057380B"/>
    <w:rsid w:val="00584BAA"/>
    <w:rsid w:val="00593C4C"/>
    <w:rsid w:val="00597589"/>
    <w:rsid w:val="005A25DD"/>
    <w:rsid w:val="005A2D15"/>
    <w:rsid w:val="005A503A"/>
    <w:rsid w:val="005B0F37"/>
    <w:rsid w:val="005B2B32"/>
    <w:rsid w:val="005B6E90"/>
    <w:rsid w:val="005C015E"/>
    <w:rsid w:val="005C2D7B"/>
    <w:rsid w:val="005C33A3"/>
    <w:rsid w:val="005D075C"/>
    <w:rsid w:val="005D0D11"/>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6A11"/>
    <w:rsid w:val="00660116"/>
    <w:rsid w:val="0066125D"/>
    <w:rsid w:val="00661EC6"/>
    <w:rsid w:val="0068201F"/>
    <w:rsid w:val="00682DD2"/>
    <w:rsid w:val="00686641"/>
    <w:rsid w:val="006918CC"/>
    <w:rsid w:val="006B76C3"/>
    <w:rsid w:val="006D0717"/>
    <w:rsid w:val="006D3705"/>
    <w:rsid w:val="006E1C96"/>
    <w:rsid w:val="006E51E1"/>
    <w:rsid w:val="006E5CA8"/>
    <w:rsid w:val="006F3418"/>
    <w:rsid w:val="006F7759"/>
    <w:rsid w:val="00701959"/>
    <w:rsid w:val="00703612"/>
    <w:rsid w:val="00703E18"/>
    <w:rsid w:val="007043AD"/>
    <w:rsid w:val="00705DD5"/>
    <w:rsid w:val="007134F0"/>
    <w:rsid w:val="007156EF"/>
    <w:rsid w:val="007171FE"/>
    <w:rsid w:val="00717379"/>
    <w:rsid w:val="007178A5"/>
    <w:rsid w:val="00721D5E"/>
    <w:rsid w:val="00723E52"/>
    <w:rsid w:val="00726E85"/>
    <w:rsid w:val="00731AF3"/>
    <w:rsid w:val="00740AC7"/>
    <w:rsid w:val="007412E9"/>
    <w:rsid w:val="007500D2"/>
    <w:rsid w:val="00750FD6"/>
    <w:rsid w:val="0075254C"/>
    <w:rsid w:val="00755010"/>
    <w:rsid w:val="007623A0"/>
    <w:rsid w:val="00763EF4"/>
    <w:rsid w:val="00764BD1"/>
    <w:rsid w:val="007677EC"/>
    <w:rsid w:val="00770A5E"/>
    <w:rsid w:val="00790D86"/>
    <w:rsid w:val="007919DD"/>
    <w:rsid w:val="007924FF"/>
    <w:rsid w:val="00794E3F"/>
    <w:rsid w:val="007A0312"/>
    <w:rsid w:val="007A0DA1"/>
    <w:rsid w:val="007A3EC8"/>
    <w:rsid w:val="007A52F8"/>
    <w:rsid w:val="007A6DBD"/>
    <w:rsid w:val="007B59A5"/>
    <w:rsid w:val="007C2D9B"/>
    <w:rsid w:val="007C344D"/>
    <w:rsid w:val="007C4B80"/>
    <w:rsid w:val="007C7524"/>
    <w:rsid w:val="007D450B"/>
    <w:rsid w:val="007D5645"/>
    <w:rsid w:val="007E4E13"/>
    <w:rsid w:val="007E55DD"/>
    <w:rsid w:val="007F10EF"/>
    <w:rsid w:val="007F7717"/>
    <w:rsid w:val="008062B1"/>
    <w:rsid w:val="00811543"/>
    <w:rsid w:val="00816C8D"/>
    <w:rsid w:val="00820771"/>
    <w:rsid w:val="0082261D"/>
    <w:rsid w:val="008256B4"/>
    <w:rsid w:val="008259BC"/>
    <w:rsid w:val="00827816"/>
    <w:rsid w:val="00834435"/>
    <w:rsid w:val="00834733"/>
    <w:rsid w:val="00834EB9"/>
    <w:rsid w:val="00837A07"/>
    <w:rsid w:val="008419A8"/>
    <w:rsid w:val="0084613B"/>
    <w:rsid w:val="00851F21"/>
    <w:rsid w:val="00853A5C"/>
    <w:rsid w:val="008638E1"/>
    <w:rsid w:val="0087185E"/>
    <w:rsid w:val="0087496B"/>
    <w:rsid w:val="00877495"/>
    <w:rsid w:val="00886CF6"/>
    <w:rsid w:val="0089443D"/>
    <w:rsid w:val="008A0ED6"/>
    <w:rsid w:val="008A55C6"/>
    <w:rsid w:val="008B38FF"/>
    <w:rsid w:val="008B6D72"/>
    <w:rsid w:val="008B769E"/>
    <w:rsid w:val="008C0D79"/>
    <w:rsid w:val="008C3985"/>
    <w:rsid w:val="008D35C8"/>
    <w:rsid w:val="008D5D78"/>
    <w:rsid w:val="008D741D"/>
    <w:rsid w:val="008E01C4"/>
    <w:rsid w:val="008E5DE9"/>
    <w:rsid w:val="008F12F3"/>
    <w:rsid w:val="009015F6"/>
    <w:rsid w:val="009110A4"/>
    <w:rsid w:val="00914AFF"/>
    <w:rsid w:val="009176C8"/>
    <w:rsid w:val="009200A3"/>
    <w:rsid w:val="009227B3"/>
    <w:rsid w:val="00922E9D"/>
    <w:rsid w:val="00923A8D"/>
    <w:rsid w:val="0094135E"/>
    <w:rsid w:val="00941B78"/>
    <w:rsid w:val="009421C4"/>
    <w:rsid w:val="0094730E"/>
    <w:rsid w:val="00950001"/>
    <w:rsid w:val="00951B43"/>
    <w:rsid w:val="0095400E"/>
    <w:rsid w:val="00957520"/>
    <w:rsid w:val="00962148"/>
    <w:rsid w:val="0096312F"/>
    <w:rsid w:val="009643B4"/>
    <w:rsid w:val="00967A7A"/>
    <w:rsid w:val="00972106"/>
    <w:rsid w:val="0097491B"/>
    <w:rsid w:val="009762D3"/>
    <w:rsid w:val="0097697C"/>
    <w:rsid w:val="0098000F"/>
    <w:rsid w:val="00983962"/>
    <w:rsid w:val="00990AEE"/>
    <w:rsid w:val="00995041"/>
    <w:rsid w:val="00997EBD"/>
    <w:rsid w:val="009A37DB"/>
    <w:rsid w:val="009A3DB4"/>
    <w:rsid w:val="009B4976"/>
    <w:rsid w:val="009B4B9D"/>
    <w:rsid w:val="009B54A0"/>
    <w:rsid w:val="009B7188"/>
    <w:rsid w:val="009D0EF3"/>
    <w:rsid w:val="009E274F"/>
    <w:rsid w:val="009F70BD"/>
    <w:rsid w:val="00A04C54"/>
    <w:rsid w:val="00A05DEE"/>
    <w:rsid w:val="00A22F75"/>
    <w:rsid w:val="00A26AC3"/>
    <w:rsid w:val="00A31B84"/>
    <w:rsid w:val="00A3398B"/>
    <w:rsid w:val="00A621BC"/>
    <w:rsid w:val="00A763E7"/>
    <w:rsid w:val="00A77876"/>
    <w:rsid w:val="00A81377"/>
    <w:rsid w:val="00A87A54"/>
    <w:rsid w:val="00A93393"/>
    <w:rsid w:val="00AA02F6"/>
    <w:rsid w:val="00AA0D57"/>
    <w:rsid w:val="00AB025D"/>
    <w:rsid w:val="00AC246F"/>
    <w:rsid w:val="00AC6240"/>
    <w:rsid w:val="00AC7DFF"/>
    <w:rsid w:val="00AD0F1D"/>
    <w:rsid w:val="00AE4730"/>
    <w:rsid w:val="00AE5933"/>
    <w:rsid w:val="00AF6165"/>
    <w:rsid w:val="00AF73E9"/>
    <w:rsid w:val="00B010F5"/>
    <w:rsid w:val="00B04E79"/>
    <w:rsid w:val="00B1237F"/>
    <w:rsid w:val="00B14A3F"/>
    <w:rsid w:val="00B32982"/>
    <w:rsid w:val="00B412D0"/>
    <w:rsid w:val="00B42635"/>
    <w:rsid w:val="00B43370"/>
    <w:rsid w:val="00B44158"/>
    <w:rsid w:val="00B5439B"/>
    <w:rsid w:val="00B56B09"/>
    <w:rsid w:val="00B57F19"/>
    <w:rsid w:val="00B601FA"/>
    <w:rsid w:val="00B64A88"/>
    <w:rsid w:val="00B6575E"/>
    <w:rsid w:val="00B6712C"/>
    <w:rsid w:val="00B73C8D"/>
    <w:rsid w:val="00B82A95"/>
    <w:rsid w:val="00B85C98"/>
    <w:rsid w:val="00B90DA6"/>
    <w:rsid w:val="00B92EE8"/>
    <w:rsid w:val="00B97AFD"/>
    <w:rsid w:val="00BA0C70"/>
    <w:rsid w:val="00BA2D41"/>
    <w:rsid w:val="00BA5B1A"/>
    <w:rsid w:val="00BB219B"/>
    <w:rsid w:val="00BB5458"/>
    <w:rsid w:val="00BB7912"/>
    <w:rsid w:val="00BC19BA"/>
    <w:rsid w:val="00BC1CC0"/>
    <w:rsid w:val="00BC2C82"/>
    <w:rsid w:val="00BD35A2"/>
    <w:rsid w:val="00BD7275"/>
    <w:rsid w:val="00BE28B7"/>
    <w:rsid w:val="00BE7FC6"/>
    <w:rsid w:val="00BF0243"/>
    <w:rsid w:val="00BF19D8"/>
    <w:rsid w:val="00C03FF2"/>
    <w:rsid w:val="00C04E70"/>
    <w:rsid w:val="00C10313"/>
    <w:rsid w:val="00C1181C"/>
    <w:rsid w:val="00C1403A"/>
    <w:rsid w:val="00C14B5D"/>
    <w:rsid w:val="00C16713"/>
    <w:rsid w:val="00C1768F"/>
    <w:rsid w:val="00C20D43"/>
    <w:rsid w:val="00C219B7"/>
    <w:rsid w:val="00C22E7D"/>
    <w:rsid w:val="00C23A23"/>
    <w:rsid w:val="00C24E4A"/>
    <w:rsid w:val="00C338CD"/>
    <w:rsid w:val="00C3645F"/>
    <w:rsid w:val="00C36DFD"/>
    <w:rsid w:val="00C437FE"/>
    <w:rsid w:val="00C46828"/>
    <w:rsid w:val="00C519BC"/>
    <w:rsid w:val="00C54BED"/>
    <w:rsid w:val="00C604AF"/>
    <w:rsid w:val="00C64E73"/>
    <w:rsid w:val="00C66249"/>
    <w:rsid w:val="00C77191"/>
    <w:rsid w:val="00C81BA7"/>
    <w:rsid w:val="00C85FF6"/>
    <w:rsid w:val="00CA423F"/>
    <w:rsid w:val="00CB1608"/>
    <w:rsid w:val="00CB3785"/>
    <w:rsid w:val="00CB5069"/>
    <w:rsid w:val="00CC0FDD"/>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6F72"/>
    <w:rsid w:val="00D32EFB"/>
    <w:rsid w:val="00D360C5"/>
    <w:rsid w:val="00D409A8"/>
    <w:rsid w:val="00D42D9A"/>
    <w:rsid w:val="00D50A92"/>
    <w:rsid w:val="00D55D70"/>
    <w:rsid w:val="00D576D7"/>
    <w:rsid w:val="00D6278F"/>
    <w:rsid w:val="00D75448"/>
    <w:rsid w:val="00D821AE"/>
    <w:rsid w:val="00DA423D"/>
    <w:rsid w:val="00DA667C"/>
    <w:rsid w:val="00DB136E"/>
    <w:rsid w:val="00DB4FE6"/>
    <w:rsid w:val="00DC061F"/>
    <w:rsid w:val="00DC39C5"/>
    <w:rsid w:val="00DC3EF3"/>
    <w:rsid w:val="00DC63C0"/>
    <w:rsid w:val="00DD748D"/>
    <w:rsid w:val="00DE2617"/>
    <w:rsid w:val="00DE3290"/>
    <w:rsid w:val="00DE4686"/>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63D4"/>
    <w:rsid w:val="00E50BC4"/>
    <w:rsid w:val="00E54EC0"/>
    <w:rsid w:val="00E73B5F"/>
    <w:rsid w:val="00E761F7"/>
    <w:rsid w:val="00E829DC"/>
    <w:rsid w:val="00E83506"/>
    <w:rsid w:val="00E85CF7"/>
    <w:rsid w:val="00EA0CB3"/>
    <w:rsid w:val="00EA1E0B"/>
    <w:rsid w:val="00EA5F56"/>
    <w:rsid w:val="00EC2992"/>
    <w:rsid w:val="00EC3E2E"/>
    <w:rsid w:val="00ED44E6"/>
    <w:rsid w:val="00ED749C"/>
    <w:rsid w:val="00EE188E"/>
    <w:rsid w:val="00EE3523"/>
    <w:rsid w:val="00EE69AF"/>
    <w:rsid w:val="00EF421D"/>
    <w:rsid w:val="00EF4FDE"/>
    <w:rsid w:val="00F201A1"/>
    <w:rsid w:val="00F236B2"/>
    <w:rsid w:val="00F25A3F"/>
    <w:rsid w:val="00F27917"/>
    <w:rsid w:val="00F3241A"/>
    <w:rsid w:val="00F33A78"/>
    <w:rsid w:val="00F33E81"/>
    <w:rsid w:val="00F43692"/>
    <w:rsid w:val="00F45C2C"/>
    <w:rsid w:val="00F4795C"/>
    <w:rsid w:val="00F50A50"/>
    <w:rsid w:val="00F50EB0"/>
    <w:rsid w:val="00F51344"/>
    <w:rsid w:val="00F54DC8"/>
    <w:rsid w:val="00F56D0D"/>
    <w:rsid w:val="00F60324"/>
    <w:rsid w:val="00F61203"/>
    <w:rsid w:val="00F641A7"/>
    <w:rsid w:val="00F7205E"/>
    <w:rsid w:val="00F77085"/>
    <w:rsid w:val="00F85A28"/>
    <w:rsid w:val="00F91303"/>
    <w:rsid w:val="00F96FDC"/>
    <w:rsid w:val="00F979F9"/>
    <w:rsid w:val="00FA27FD"/>
    <w:rsid w:val="00FA6742"/>
    <w:rsid w:val="00FB2AB6"/>
    <w:rsid w:val="00FB430F"/>
    <w:rsid w:val="00FB63C1"/>
    <w:rsid w:val="00FC125E"/>
    <w:rsid w:val="00FD5531"/>
    <w:rsid w:val="00FE3147"/>
    <w:rsid w:val="00FF421C"/>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apnews.com/article/federal-reserve-inflation-interest-rates-economy-jobs-47a78ceb285ac50217ef39e2441112ee"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nbc.com/2023/07/12/inflation-rose-just-0point2percent-in-june-less-than-expected-as-consumers-get-a-break-from-price-increases.html"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nn.com/2023/07/27/economy/second-quarter-gdp/index.html"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7" ma:contentTypeDescription="Create a new document." ma:contentTypeScope="" ma:versionID="e2feac54abb28b45bce5e22a11b7e91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7e57d23bff22e841d3d91476cbfbb19e"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2.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3.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12E0362E-2F9B-4F2A-93B6-4DE30EB01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1381</Words>
  <Characters>7211</Characters>
  <Application>Microsoft Office Word</Application>
  <DocSecurity>0</DocSecurity>
  <Lines>109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35</cp:revision>
  <cp:lastPrinted>2023-03-06T21:01:00Z</cp:lastPrinted>
  <dcterms:created xsi:type="dcterms:W3CDTF">2023-07-05T13:29:00Z</dcterms:created>
  <dcterms:modified xsi:type="dcterms:W3CDTF">2023-08-02T20:25:00Z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