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1"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5" o:spid="_x0000_s1026" type="#_x0000_t202" style="position:absolute;left:0;text-align:left;margin-left:392.7pt;margin-top:-2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8240"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2"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Text Box 2" o:spid="_x0000_s1027" type="#_x0000_t202" style="position:absolute;left:0;text-align:left;margin-left:428.25pt;margin-top:8.2pt;width:109.6pt;height:77.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3DE33D31" w:rsidR="00730139" w:rsidRPr="000A77AA" w:rsidRDefault="0086174A" w:rsidP="0086174A">
      <w:pPr>
        <w:ind w:firstLine="720"/>
        <w:rPr>
          <w:rFonts w:cstheme="minorHAnsi"/>
          <w:color w:val="58595B"/>
          <w:spacing w:val="-5"/>
          <w:sz w:val="20"/>
          <w:szCs w:val="20"/>
        </w:rPr>
      </w:pPr>
      <w:r>
        <w:rPr>
          <w:rFonts w:cstheme="minorHAnsi"/>
          <w:b/>
          <w:color w:val="005EA4"/>
          <w:sz w:val="28"/>
          <w:szCs w:val="28"/>
        </w:rPr>
        <w:t>Third</w:t>
      </w:r>
      <w:r w:rsidR="00D0383A" w:rsidRPr="000A77AA">
        <w:rPr>
          <w:rFonts w:cstheme="minorHAnsi"/>
          <w:b/>
          <w:color w:val="005EA4"/>
          <w:sz w:val="28"/>
          <w:szCs w:val="28"/>
        </w:rPr>
        <w:t xml:space="preserve"> </w:t>
      </w:r>
      <w:r w:rsidR="00353EA1" w:rsidRPr="000A77AA">
        <w:rPr>
          <w:rFonts w:cstheme="minorHAnsi"/>
          <w:b/>
          <w:color w:val="005EA4"/>
          <w:sz w:val="28"/>
          <w:szCs w:val="28"/>
        </w:rPr>
        <w:t>Quarter 202</w:t>
      </w:r>
      <w:r w:rsidR="00E9569D">
        <w:rPr>
          <w:rFonts w:cstheme="minorHAnsi"/>
          <w:b/>
          <w:color w:val="005EA4"/>
          <w:sz w:val="28"/>
          <w:szCs w:val="28"/>
        </w:rPr>
        <w:t>3</w:t>
      </w:r>
      <w:r w:rsidR="00353EA1" w:rsidRPr="000A77AA">
        <w:rPr>
          <w:rFonts w:cstheme="minorHAnsi"/>
          <w:b/>
          <w:color w:val="005EA4"/>
          <w:sz w:val="28"/>
          <w:szCs w:val="28"/>
        </w:rPr>
        <w:t xml:space="preserve"> </w:t>
      </w:r>
      <w:r w:rsidR="00004887" w:rsidRPr="000A77AA">
        <w:rPr>
          <w:rFonts w:cstheme="minorHAnsi"/>
          <w:b/>
          <w:color w:val="005EA4"/>
          <w:sz w:val="28"/>
          <w:szCs w:val="28"/>
        </w:rPr>
        <w:t xml:space="preserve">Quarterly </w:t>
      </w:r>
      <w:r w:rsidR="00353EA1" w:rsidRPr="000A77AA">
        <w:rPr>
          <w:rFonts w:cstheme="minorHAnsi"/>
          <w:b/>
          <w:color w:val="005EA4"/>
          <w:sz w:val="28"/>
          <w:szCs w:val="28"/>
        </w:rPr>
        <w:t>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9518B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type w:val="continuous"/>
          <w:pgSz w:w="12240" w:h="15840"/>
          <w:pgMar w:top="0" w:right="0" w:bottom="0" w:left="0" w:header="720" w:footer="720" w:gutter="0"/>
          <w:cols w:space="720"/>
        </w:sectPr>
      </w:pPr>
    </w:p>
    <w:p w14:paraId="20C6C70B" w14:textId="77777777" w:rsidR="00C10EFC" w:rsidRPr="00BD6897" w:rsidRDefault="00C10EFC" w:rsidP="0086174A">
      <w:pPr>
        <w:pStyle w:val="paragraph"/>
        <w:spacing w:before="0" w:beforeAutospacing="0" w:after="0" w:afterAutospacing="0"/>
        <w:textAlignment w:val="baseline"/>
        <w:rPr>
          <w:rStyle w:val="normaltextrun"/>
          <w:rFonts w:ascii="Calibri" w:hAnsi="Calibri" w:cs="Calibri"/>
          <w:color w:val="808080" w:themeColor="background1" w:themeShade="80"/>
          <w:sz w:val="22"/>
          <w:szCs w:val="22"/>
        </w:rPr>
      </w:pPr>
    </w:p>
    <w:p w14:paraId="6A2E4D89" w14:textId="77777777"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The third quarter saw the Russell 3000 post a -4.7% loss, yet year-to-date stocks are still up 14%. Bonds were down -3.2% on the quarter and down -1.2% on the year as measured by the Bloomberg Aggregate. A typical 60% equity / 40% fixed income portfolio</w:t>
      </w:r>
      <w:r w:rsidRPr="00BD6897">
        <w:rPr>
          <w:rStyle w:val="FootnoteReference"/>
          <w:rFonts w:cstheme="minorHAnsi"/>
          <w:color w:val="595959" w:themeColor="text1" w:themeTint="A6"/>
          <w:sz w:val="20"/>
          <w:szCs w:val="20"/>
        </w:rPr>
        <w:footnoteReference w:id="2"/>
      </w:r>
      <w:r w:rsidRPr="00BD6897">
        <w:rPr>
          <w:rFonts w:cstheme="minorHAnsi"/>
          <w:color w:val="595959" w:themeColor="text1" w:themeTint="A6"/>
          <w:sz w:val="20"/>
          <w:szCs w:val="20"/>
        </w:rPr>
        <w:t xml:space="preserve"> is up a respectable 6.4% year to date. Investors should have a smile on their faces from this number, yet the level of anxiety is high. Case in point, here were some selected headlines over this past quarter:  </w:t>
      </w:r>
    </w:p>
    <w:p w14:paraId="0D617A15" w14:textId="77777777" w:rsidR="005D3039" w:rsidRPr="00BD6897" w:rsidRDefault="005D3039" w:rsidP="0086174A">
      <w:pPr>
        <w:rPr>
          <w:rFonts w:cstheme="minorHAnsi"/>
          <w:color w:val="595959" w:themeColor="text1" w:themeTint="A6"/>
          <w:sz w:val="20"/>
          <w:szCs w:val="20"/>
        </w:rPr>
      </w:pPr>
    </w:p>
    <w:tbl>
      <w:tblPr>
        <w:tblStyle w:val="TableGrid"/>
        <w:tblW w:w="0" w:type="auto"/>
        <w:tblInd w:w="44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1620"/>
        <w:gridCol w:w="7830"/>
      </w:tblGrid>
      <w:tr w:rsidR="00BD6897" w:rsidRPr="00BD6897" w14:paraId="0FA575E3" w14:textId="77777777" w:rsidTr="00006F8E">
        <w:tc>
          <w:tcPr>
            <w:tcW w:w="1620" w:type="dxa"/>
            <w:shd w:val="clear" w:color="auto" w:fill="FFFFFF" w:themeFill="background1"/>
          </w:tcPr>
          <w:p w14:paraId="6F952E06"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August 1</w:t>
            </w:r>
            <w:r w:rsidRPr="00BD6897">
              <w:rPr>
                <w:rFonts w:cstheme="minorHAnsi"/>
                <w:color w:val="595959" w:themeColor="text1" w:themeTint="A6"/>
                <w:sz w:val="20"/>
                <w:szCs w:val="20"/>
                <w:vertAlign w:val="superscript"/>
              </w:rPr>
              <w:t>st</w:t>
            </w:r>
          </w:p>
        </w:tc>
        <w:tc>
          <w:tcPr>
            <w:tcW w:w="7830" w:type="dxa"/>
            <w:shd w:val="clear" w:color="auto" w:fill="FFFFFF" w:themeFill="background1"/>
          </w:tcPr>
          <w:p w14:paraId="49139770" w14:textId="77777777"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 xml:space="preserve">Fitch downgrades the credit rating of the United States. </w:t>
            </w:r>
          </w:p>
        </w:tc>
      </w:tr>
      <w:tr w:rsidR="00BD6897" w:rsidRPr="00BD6897" w14:paraId="6857328D" w14:textId="77777777" w:rsidTr="00006F8E">
        <w:tc>
          <w:tcPr>
            <w:tcW w:w="1620" w:type="dxa"/>
            <w:shd w:val="clear" w:color="auto" w:fill="FFFFFF" w:themeFill="background1"/>
          </w:tcPr>
          <w:p w14:paraId="59A842E8"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30</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271B9606" w14:textId="77777777"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 xml:space="preserve">A potential government shutdown is averted, having just averted a debt default. </w:t>
            </w:r>
          </w:p>
        </w:tc>
      </w:tr>
      <w:tr w:rsidR="00BD6897" w:rsidRPr="00BD6897" w14:paraId="69D86AAC" w14:textId="77777777" w:rsidTr="00006F8E">
        <w:tc>
          <w:tcPr>
            <w:tcW w:w="1620" w:type="dxa"/>
            <w:shd w:val="clear" w:color="auto" w:fill="FFFFFF" w:themeFill="background1"/>
          </w:tcPr>
          <w:p w14:paraId="743B4B46"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29</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21C3A688" w14:textId="77777777"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 xml:space="preserve">Bilateral trade between China and Russia rose by 32%. </w:t>
            </w:r>
          </w:p>
        </w:tc>
      </w:tr>
      <w:tr w:rsidR="00BD6897" w:rsidRPr="00BD6897" w14:paraId="63EE4F1A" w14:textId="77777777" w:rsidTr="00006F8E">
        <w:tc>
          <w:tcPr>
            <w:tcW w:w="1620" w:type="dxa"/>
            <w:shd w:val="clear" w:color="auto" w:fill="FFFFFF" w:themeFill="background1"/>
          </w:tcPr>
          <w:p w14:paraId="2E813C53"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29</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2EF40EF3" w14:textId="6761C18E" w:rsidR="005D3039" w:rsidRPr="00BD6897" w:rsidRDefault="005D3039" w:rsidP="0086174A">
            <w:pPr>
              <w:ind w:left="0" w:firstLine="0"/>
              <w:rPr>
                <w:rFonts w:cstheme="minorHAnsi"/>
                <w:color w:val="595959" w:themeColor="text1" w:themeTint="A6"/>
                <w:sz w:val="20"/>
                <w:szCs w:val="20"/>
              </w:rPr>
            </w:pPr>
            <w:r w:rsidRPr="00BD6897">
              <w:rPr>
                <w:rFonts w:cstheme="minorHAnsi"/>
                <w:color w:val="595959" w:themeColor="text1" w:themeTint="A6"/>
                <w:sz w:val="20"/>
                <w:szCs w:val="20"/>
              </w:rPr>
              <w:t>Torrential rains shut down ½ of 'NYC's subway lines.</w:t>
            </w:r>
          </w:p>
        </w:tc>
      </w:tr>
      <w:tr w:rsidR="00BD6897" w:rsidRPr="00BD6897" w14:paraId="4A246061" w14:textId="77777777" w:rsidTr="00006F8E">
        <w:tc>
          <w:tcPr>
            <w:tcW w:w="1620" w:type="dxa"/>
            <w:shd w:val="clear" w:color="auto" w:fill="FFFFFF" w:themeFill="background1"/>
          </w:tcPr>
          <w:p w14:paraId="485D7595"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September 13</w:t>
            </w:r>
            <w:r w:rsidRPr="00BD6897">
              <w:rPr>
                <w:rFonts w:cstheme="minorHAnsi"/>
                <w:color w:val="595959" w:themeColor="text1" w:themeTint="A6"/>
                <w:sz w:val="20"/>
                <w:szCs w:val="20"/>
                <w:vertAlign w:val="superscript"/>
              </w:rPr>
              <w:t>th</w:t>
            </w:r>
          </w:p>
        </w:tc>
        <w:tc>
          <w:tcPr>
            <w:tcW w:w="7830" w:type="dxa"/>
            <w:shd w:val="clear" w:color="auto" w:fill="FFFFFF" w:themeFill="background1"/>
          </w:tcPr>
          <w:p w14:paraId="4474A680" w14:textId="77777777" w:rsidR="005D3039" w:rsidRPr="00BD6897" w:rsidRDefault="005D3039" w:rsidP="0086174A">
            <w:pPr>
              <w:pStyle w:val="ListParagraph"/>
              <w:ind w:left="0" w:firstLine="0"/>
              <w:rPr>
                <w:rFonts w:cstheme="minorHAnsi"/>
                <w:color w:val="595959" w:themeColor="text1" w:themeTint="A6"/>
                <w:sz w:val="20"/>
                <w:szCs w:val="20"/>
              </w:rPr>
            </w:pPr>
            <w:r w:rsidRPr="00BD6897">
              <w:rPr>
                <w:rFonts w:cstheme="minorHAnsi"/>
                <w:color w:val="595959" w:themeColor="text1" w:themeTint="A6"/>
                <w:sz w:val="20"/>
                <w:szCs w:val="20"/>
              </w:rPr>
              <w:t>The who's who of the tech world meets with senators behind closed doors to debate A.I.</w:t>
            </w:r>
          </w:p>
        </w:tc>
      </w:tr>
    </w:tbl>
    <w:p w14:paraId="709247F2" w14:textId="77777777" w:rsidR="005D3039" w:rsidRPr="00BD6897" w:rsidRDefault="005D3039" w:rsidP="0086174A">
      <w:pPr>
        <w:rPr>
          <w:rFonts w:cstheme="minorHAnsi"/>
          <w:color w:val="595959" w:themeColor="text1" w:themeTint="A6"/>
          <w:sz w:val="20"/>
          <w:szCs w:val="20"/>
        </w:rPr>
      </w:pPr>
    </w:p>
    <w:p w14:paraId="36DEFF88" w14:textId="77777777"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 xml:space="preserve">These headlines are a microcosm of what Ray Dalio, founder of hedge fund giant Bridgewater, has labeled the five forces that he speculates will create a period of great disorder. They are 1) Debt Accumulation, 2) Domestic Schisms, 3) New International World Order, 4) Acts of Nature, and 5) Technology. </w:t>
      </w:r>
    </w:p>
    <w:p w14:paraId="5F67A3CE" w14:textId="77777777" w:rsidR="00B65D5D" w:rsidRPr="00BD6897" w:rsidRDefault="00B65D5D" w:rsidP="0086174A">
      <w:pPr>
        <w:rPr>
          <w:rFonts w:cstheme="minorHAnsi"/>
          <w:color w:val="595959" w:themeColor="text1" w:themeTint="A6"/>
          <w:sz w:val="20"/>
          <w:szCs w:val="20"/>
        </w:rPr>
      </w:pPr>
    </w:p>
    <w:p w14:paraId="23FDDE8C" w14:textId="77777777"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Debt Accumulation: </w:t>
      </w:r>
      <w:r w:rsidRPr="00BD6897">
        <w:rPr>
          <w:rFonts w:cstheme="minorHAnsi"/>
          <w:color w:val="595959" w:themeColor="text1" w:themeTint="A6"/>
          <w:sz w:val="20"/>
          <w:szCs w:val="20"/>
        </w:rPr>
        <w:t>U.S. public debt has exploded, growing from 100% of GDP a decade ago to 120% today. Given the higher interest rate environment, the cost to service this debt will increase.</w:t>
      </w:r>
    </w:p>
    <w:p w14:paraId="5D4F680A" w14:textId="77777777"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Domestic Schisms: </w:t>
      </w:r>
      <w:r w:rsidRPr="00BD6897">
        <w:rPr>
          <w:rFonts w:cstheme="minorHAnsi"/>
          <w:color w:val="595959" w:themeColor="text1" w:themeTint="A6"/>
          <w:sz w:val="20"/>
          <w:szCs w:val="20"/>
        </w:rPr>
        <w:t xml:space="preserve">Income and wealth inequality are higher in the U.S. than in almost any other developed country where the top 10% of households control 70% of the country's wealth. The values gap is equally pernicious, ranging from vaccines, climate change, and the value of college education. The result is a dysfunctional political system that has spilled over into violent conflict. </w:t>
      </w:r>
    </w:p>
    <w:p w14:paraId="4A5736E7" w14:textId="0976C2E2"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International World Order: </w:t>
      </w:r>
      <w:r w:rsidRPr="00BD6897">
        <w:rPr>
          <w:rFonts w:cstheme="minorHAnsi"/>
          <w:color w:val="595959" w:themeColor="text1" w:themeTint="A6"/>
          <w:sz w:val="20"/>
          <w:szCs w:val="20"/>
        </w:rPr>
        <w:t xml:space="preserve">The Russian invasion of Ukraine and the COVID-19 pandemic have accelerated a new world order split into two spheres, one centered on Washington and the other on Beijing. Globalization and fair trade have morphed into self-sufficiency and onshoring. President Xi has said unifying Taiwan </w:t>
      </w:r>
      <w:hyperlink r:id="rId18" w:tgtFrame="_blank" w:history="1">
        <w:r w:rsidRPr="00BD6897">
          <w:rPr>
            <w:rFonts w:cstheme="minorHAnsi"/>
            <w:color w:val="595959" w:themeColor="text1" w:themeTint="A6"/>
            <w:sz w:val="20"/>
            <w:szCs w:val="20"/>
          </w:rPr>
          <w:t>must be achieved</w:t>
        </w:r>
      </w:hyperlink>
      <w:r w:rsidRPr="00BD6897">
        <w:rPr>
          <w:rFonts w:cstheme="minorHAnsi"/>
          <w:color w:val="595959" w:themeColor="text1" w:themeTint="A6"/>
          <w:sz w:val="20"/>
          <w:szCs w:val="20"/>
        </w:rPr>
        <w:t xml:space="preserve">, while President Biden has stated that he </w:t>
      </w:r>
      <w:hyperlink r:id="rId19" w:history="1">
        <w:r w:rsidRPr="00BD6897">
          <w:rPr>
            <w:rFonts w:cstheme="minorHAnsi"/>
            <w:color w:val="595959" w:themeColor="text1" w:themeTint="A6"/>
            <w:sz w:val="20"/>
            <w:szCs w:val="20"/>
          </w:rPr>
          <w:t>would defend Taiwan</w:t>
        </w:r>
      </w:hyperlink>
      <w:r w:rsidRPr="00BD6897">
        <w:rPr>
          <w:rFonts w:cstheme="minorHAnsi"/>
          <w:color w:val="595959" w:themeColor="text1" w:themeTint="A6"/>
          <w:sz w:val="20"/>
          <w:szCs w:val="20"/>
        </w:rPr>
        <w:t>. Red lines have been drawn.</w:t>
      </w:r>
    </w:p>
    <w:p w14:paraId="0EE20BA5" w14:textId="77777777"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Acts of Nature: </w:t>
      </w:r>
      <w:r w:rsidRPr="00BD6897">
        <w:rPr>
          <w:rFonts w:cstheme="minorHAnsi"/>
          <w:color w:val="595959" w:themeColor="text1" w:themeTint="A6"/>
          <w:sz w:val="20"/>
          <w:szCs w:val="20"/>
        </w:rPr>
        <w:t xml:space="preserve">Rising temperatures tied to climate change magnify the intensity and frequency of natural disasters, increasing stress on economies and countries. </w:t>
      </w:r>
    </w:p>
    <w:p w14:paraId="10E5769C" w14:textId="12371B4D" w:rsidR="005D3039" w:rsidRPr="00BD6897" w:rsidRDefault="005D3039" w:rsidP="0086174A">
      <w:pPr>
        <w:pStyle w:val="ListParagraph"/>
        <w:widowControl/>
        <w:numPr>
          <w:ilvl w:val="0"/>
          <w:numId w:val="48"/>
        </w:numPr>
        <w:contextualSpacing/>
        <w:rPr>
          <w:rFonts w:cstheme="minorHAnsi"/>
          <w:color w:val="595959" w:themeColor="text1" w:themeTint="A6"/>
          <w:sz w:val="20"/>
          <w:szCs w:val="20"/>
        </w:rPr>
      </w:pPr>
      <w:r w:rsidRPr="00BD6897">
        <w:rPr>
          <w:rFonts w:cstheme="minorHAnsi"/>
          <w:b/>
          <w:bCs/>
          <w:color w:val="595959" w:themeColor="text1" w:themeTint="A6"/>
          <w:sz w:val="20"/>
          <w:szCs w:val="20"/>
        </w:rPr>
        <w:t xml:space="preserve">Technology: </w:t>
      </w:r>
      <w:r w:rsidRPr="00BD6897">
        <w:rPr>
          <w:rFonts w:cstheme="minorHAnsi"/>
          <w:color w:val="595959" w:themeColor="text1" w:themeTint="A6"/>
          <w:sz w:val="20"/>
          <w:szCs w:val="20"/>
        </w:rPr>
        <w:t>In just a matter of four months, A.I. flunked the bar exam and then aced it with a 90th percentile rank. Should we be excited or scared of A.I., or both? Will A.I. increase my efficiency at work or replace me? Will A.I</w:t>
      </w:r>
      <w:r w:rsidR="00971A58">
        <w:rPr>
          <w:rFonts w:cstheme="minorHAnsi"/>
          <w:color w:val="595959" w:themeColor="text1" w:themeTint="A6"/>
          <w:sz w:val="20"/>
          <w:szCs w:val="20"/>
        </w:rPr>
        <w:t>.</w:t>
      </w:r>
      <w:r w:rsidRPr="00BD6897">
        <w:rPr>
          <w:rFonts w:cstheme="minorHAnsi"/>
          <w:color w:val="595959" w:themeColor="text1" w:themeTint="A6"/>
          <w:sz w:val="20"/>
          <w:szCs w:val="20"/>
        </w:rPr>
        <w:t xml:space="preserve"> and robotics solve the labor shortage? What happens if A.I. replaces hundreds of thousands of workers, what will be the effect on individuals, society</w:t>
      </w:r>
      <w:r w:rsidR="00971A58">
        <w:rPr>
          <w:rFonts w:cstheme="minorHAnsi"/>
          <w:color w:val="595959" w:themeColor="text1" w:themeTint="A6"/>
          <w:sz w:val="20"/>
          <w:szCs w:val="20"/>
        </w:rPr>
        <w:t>,</w:t>
      </w:r>
      <w:r w:rsidRPr="00BD6897">
        <w:rPr>
          <w:rFonts w:cstheme="minorHAnsi"/>
          <w:color w:val="595959" w:themeColor="text1" w:themeTint="A6"/>
          <w:sz w:val="20"/>
          <w:szCs w:val="20"/>
        </w:rPr>
        <w:t xml:space="preserve"> and the stock market? </w:t>
      </w:r>
    </w:p>
    <w:p w14:paraId="0E0ACC6B" w14:textId="77777777" w:rsidR="00B65D5D" w:rsidRPr="00BD6897" w:rsidRDefault="00B65D5D" w:rsidP="00B65D5D">
      <w:pPr>
        <w:pStyle w:val="ListParagraph"/>
        <w:widowControl/>
        <w:ind w:left="720"/>
        <w:contextualSpacing/>
        <w:rPr>
          <w:rFonts w:cstheme="minorHAnsi"/>
          <w:color w:val="595959" w:themeColor="text1" w:themeTint="A6"/>
          <w:sz w:val="20"/>
          <w:szCs w:val="20"/>
        </w:rPr>
      </w:pPr>
    </w:p>
    <w:p w14:paraId="4E0404F4" w14:textId="1710D77E" w:rsidR="005D3039" w:rsidRPr="00BD6897" w:rsidRDefault="005D3039" w:rsidP="00BD6897">
      <w:pPr>
        <w:widowControl/>
        <w:contextualSpacing/>
        <w:rPr>
          <w:rFonts w:cstheme="minorHAnsi"/>
          <w:color w:val="595959" w:themeColor="text1" w:themeTint="A6"/>
          <w:sz w:val="20"/>
          <w:szCs w:val="20"/>
        </w:rPr>
      </w:pPr>
      <w:r w:rsidRPr="00BD6897">
        <w:rPr>
          <w:rFonts w:cstheme="minorHAnsi"/>
          <w:color w:val="595959" w:themeColor="text1" w:themeTint="A6"/>
          <w:sz w:val="20"/>
          <w:szCs w:val="20"/>
        </w:rPr>
        <w:t xml:space="preserve">Based on the gravity of the list above, investor anxiety is justified. </w:t>
      </w:r>
    </w:p>
    <w:p w14:paraId="5AA8718C" w14:textId="77777777" w:rsidR="00BD6897" w:rsidRDefault="00BD6897" w:rsidP="00BD6897">
      <w:pPr>
        <w:widowControl/>
        <w:contextualSpacing/>
        <w:rPr>
          <w:rFonts w:cstheme="minorHAnsi"/>
          <w:sz w:val="20"/>
          <w:szCs w:val="20"/>
        </w:rPr>
      </w:pPr>
    </w:p>
    <w:p w14:paraId="00DCE222" w14:textId="10E4D341" w:rsidR="00B65D5D" w:rsidRDefault="00B65D5D" w:rsidP="0086174A">
      <w:pPr>
        <w:widowControl/>
        <w:contextualSpacing/>
        <w:jc w:val="center"/>
        <w:rPr>
          <w:rFonts w:cstheme="minorHAnsi"/>
          <w:sz w:val="20"/>
          <w:szCs w:val="20"/>
        </w:rPr>
      </w:pPr>
      <w:r>
        <w:rPr>
          <w:noProof/>
        </w:rPr>
        <w:drawing>
          <wp:inline distT="0" distB="0" distL="0" distR="0" wp14:anchorId="35890F2C" wp14:editId="27B17A89">
            <wp:extent cx="5039354" cy="2180492"/>
            <wp:effectExtent l="0" t="0" r="0" b="0"/>
            <wp:docPr id="125130295" name="Picture 125130295" descr="A graph of a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0295" name="Picture 6" descr="A graph of a market&#10;&#10;Description automatically generated with medium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8889" cy="2206252"/>
                    </a:xfrm>
                    <a:prstGeom prst="rect">
                      <a:avLst/>
                    </a:prstGeom>
                    <a:noFill/>
                  </pic:spPr>
                </pic:pic>
              </a:graphicData>
            </a:graphic>
          </wp:inline>
        </w:drawing>
      </w:r>
    </w:p>
    <w:p w14:paraId="632863EB" w14:textId="77777777" w:rsidR="00B65D5D" w:rsidRPr="0041051F" w:rsidRDefault="00B65D5D" w:rsidP="0086174A">
      <w:pPr>
        <w:widowControl/>
        <w:contextualSpacing/>
        <w:jc w:val="center"/>
        <w:rPr>
          <w:rFonts w:cstheme="minorHAnsi"/>
          <w:sz w:val="20"/>
          <w:szCs w:val="20"/>
        </w:rPr>
      </w:pPr>
    </w:p>
    <w:p w14:paraId="628E4CD6" w14:textId="6AD0735A" w:rsidR="0086174A"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lastRenderedPageBreak/>
        <w:t>The above chart</w:t>
      </w:r>
      <w:r w:rsidRPr="00BD6897">
        <w:rPr>
          <w:rStyle w:val="FootnoteReference"/>
          <w:rFonts w:cstheme="minorHAnsi"/>
          <w:color w:val="595959" w:themeColor="text1" w:themeTint="A6"/>
          <w:sz w:val="20"/>
          <w:szCs w:val="20"/>
        </w:rPr>
        <w:footnoteReference w:id="3"/>
      </w:r>
      <w:r w:rsidRPr="00BD6897">
        <w:rPr>
          <w:rFonts w:cstheme="minorHAnsi"/>
          <w:color w:val="595959" w:themeColor="text1" w:themeTint="A6"/>
          <w:sz w:val="20"/>
          <w:szCs w:val="20"/>
        </w:rPr>
        <w:t xml:space="preserve"> shows the historical long-term growth from 1926 to the present for equity, bonds, cash, and inflation investments. As represented by large stocks in the blue line, equity markets have compensated investors for bearing risks such as those in Dalio</w:t>
      </w:r>
      <w:r w:rsidR="00631CEA">
        <w:rPr>
          <w:rFonts w:cstheme="minorHAnsi"/>
          <w:color w:val="595959" w:themeColor="text1" w:themeTint="A6"/>
          <w:sz w:val="20"/>
          <w:szCs w:val="20"/>
        </w:rPr>
        <w:t>'</w:t>
      </w:r>
      <w:r w:rsidRPr="00BD6897">
        <w:rPr>
          <w:rFonts w:cstheme="minorHAnsi"/>
          <w:color w:val="595959" w:themeColor="text1" w:themeTint="A6"/>
          <w:sz w:val="20"/>
          <w:szCs w:val="20"/>
        </w:rPr>
        <w:t>s five forces and others. The last century was marked by two World Wars, a Great Depression, and a Global Financial Crisis. Nonetheless, U.S. large-cap stocks have posted a 10.2% per year return, far outpacing inflation and bonds. The news always seems to be full of new things that create the crisis of the</w:t>
      </w:r>
      <w:r w:rsidRPr="00D846DD">
        <w:rPr>
          <w:rFonts w:cstheme="minorHAnsi"/>
          <w:color w:val="595959" w:themeColor="text1" w:themeTint="A6"/>
          <w:sz w:val="20"/>
          <w:szCs w:val="20"/>
        </w:rPr>
        <w:t xml:space="preserve"> day</w:t>
      </w:r>
      <w:r w:rsidRPr="00BD6897">
        <w:rPr>
          <w:rFonts w:cstheme="minorHAnsi"/>
          <w:color w:val="595959" w:themeColor="text1" w:themeTint="A6"/>
          <w:spacing w:val="5"/>
          <w:sz w:val="20"/>
          <w:szCs w:val="20"/>
          <w:shd w:val="clear" w:color="auto" w:fill="F0F1EF"/>
        </w:rPr>
        <w:t>.</w:t>
      </w:r>
      <w:r w:rsidRPr="00BD6897">
        <w:rPr>
          <w:rFonts w:cstheme="minorHAnsi"/>
          <w:color w:val="595959" w:themeColor="text1" w:themeTint="A6"/>
          <w:sz w:val="20"/>
          <w:szCs w:val="20"/>
        </w:rPr>
        <w:t xml:space="preserve"> Holding equities for the long term requires optimism in the face of</w:t>
      </w:r>
    </w:p>
    <w:p w14:paraId="0B3EED05" w14:textId="4DA5893A"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the day's crises.</w:t>
      </w:r>
    </w:p>
    <w:p w14:paraId="08178D45" w14:textId="77777777" w:rsidR="005D3039" w:rsidRPr="00BD6897" w:rsidRDefault="005D3039" w:rsidP="0086174A">
      <w:pPr>
        <w:rPr>
          <w:rFonts w:cstheme="minorHAnsi"/>
          <w:color w:val="595959" w:themeColor="text1" w:themeTint="A6"/>
          <w:sz w:val="20"/>
          <w:szCs w:val="20"/>
        </w:rPr>
      </w:pPr>
    </w:p>
    <w:p w14:paraId="0A93493E" w14:textId="636CF06A" w:rsidR="005D3039" w:rsidRPr="00BD6897" w:rsidRDefault="005D3039" w:rsidP="0086174A">
      <w:pPr>
        <w:rPr>
          <w:rFonts w:cstheme="minorHAnsi"/>
          <w:color w:val="595959" w:themeColor="text1" w:themeTint="A6"/>
          <w:spacing w:val="5"/>
          <w:sz w:val="20"/>
          <w:szCs w:val="20"/>
        </w:rPr>
      </w:pPr>
      <w:r w:rsidRPr="00BD6897">
        <w:rPr>
          <w:rFonts w:cstheme="minorHAnsi"/>
          <w:color w:val="595959" w:themeColor="text1" w:themeTint="A6"/>
          <w:sz w:val="20"/>
          <w:szCs w:val="20"/>
        </w:rPr>
        <w:t>It requires the heart of an optimist to be a successful long-term investor in stocks because of how volatility interacts with our cognitive biases. Equities have a large standard deviation of returns, around 17%. This volatility is catnip for our faulty cognitive biases. For example, our desire to see patterns in randomness drives us to attempt to time markets, which is a fool's errand. Another example is known as the </w:t>
      </w:r>
      <w:hyperlink r:id="rId21" w:history="1">
        <w:r w:rsidRPr="00BD6897">
          <w:rPr>
            <w:rFonts w:cstheme="minorHAnsi"/>
            <w:color w:val="595959" w:themeColor="text1" w:themeTint="A6"/>
            <w:sz w:val="20"/>
            <w:szCs w:val="20"/>
          </w:rPr>
          <w:t>availability heuristic</w:t>
        </w:r>
      </w:hyperlink>
      <w:r w:rsidRPr="00BD6897">
        <w:rPr>
          <w:rFonts w:cstheme="minorHAnsi"/>
          <w:color w:val="595959" w:themeColor="text1" w:themeTint="A6"/>
          <w:sz w:val="20"/>
          <w:szCs w:val="20"/>
        </w:rPr>
        <w:t>. This type of cognitive bias helps us make fast, but sometimes incorrect, assessments based on information readily available to us. So, scary news primes us to overweight the probability of negative events and</w:t>
      </w:r>
      <w:r w:rsidR="003C603D">
        <w:rPr>
          <w:rFonts w:cstheme="minorHAnsi"/>
          <w:color w:val="595959" w:themeColor="text1" w:themeTint="A6"/>
          <w:sz w:val="20"/>
          <w:szCs w:val="20"/>
        </w:rPr>
        <w:t>,</w:t>
      </w:r>
      <w:r w:rsidRPr="00BD6897">
        <w:rPr>
          <w:rFonts w:cstheme="minorHAnsi"/>
          <w:color w:val="595959" w:themeColor="text1" w:themeTint="A6"/>
          <w:sz w:val="20"/>
          <w:szCs w:val="20"/>
        </w:rPr>
        <w:t xml:space="preserve"> therefore</w:t>
      </w:r>
      <w:r w:rsidR="00947406">
        <w:rPr>
          <w:rFonts w:cstheme="minorHAnsi"/>
          <w:color w:val="595959" w:themeColor="text1" w:themeTint="A6"/>
          <w:sz w:val="20"/>
          <w:szCs w:val="20"/>
        </w:rPr>
        <w:t>,</w:t>
      </w:r>
      <w:r w:rsidRPr="00BD6897">
        <w:rPr>
          <w:rFonts w:cstheme="minorHAnsi"/>
          <w:color w:val="595959" w:themeColor="text1" w:themeTint="A6"/>
          <w:sz w:val="20"/>
          <w:szCs w:val="20"/>
        </w:rPr>
        <w:t xml:space="preserve"> causes us to underinvest in stocks.</w:t>
      </w:r>
      <w:r w:rsidRPr="00BD6897">
        <w:rPr>
          <w:rFonts w:cstheme="minorHAnsi"/>
          <w:color w:val="595959" w:themeColor="text1" w:themeTint="A6"/>
          <w:sz w:val="20"/>
          <w:szCs w:val="20"/>
        </w:rPr>
        <w:br/>
      </w:r>
    </w:p>
    <w:p w14:paraId="4F6D7357" w14:textId="77777777" w:rsidR="005D3039" w:rsidRPr="00431BCA" w:rsidRDefault="005D3039" w:rsidP="0086174A">
      <w:pPr>
        <w:jc w:val="center"/>
        <w:rPr>
          <w:rFonts w:cstheme="minorHAnsi"/>
          <w:color w:val="241F3D"/>
          <w:spacing w:val="5"/>
          <w:sz w:val="20"/>
          <w:szCs w:val="20"/>
        </w:rPr>
      </w:pPr>
      <w:r w:rsidRPr="00431BCA">
        <w:rPr>
          <w:rFonts w:cstheme="minorHAnsi"/>
          <w:noProof/>
          <w:color w:val="241F3D"/>
          <w:spacing w:val="5"/>
          <w:sz w:val="20"/>
          <w:szCs w:val="20"/>
        </w:rPr>
        <w:drawing>
          <wp:inline distT="0" distB="0" distL="0" distR="0" wp14:anchorId="5DE0F591" wp14:editId="7E182B22">
            <wp:extent cx="5711009" cy="2304415"/>
            <wp:effectExtent l="0" t="0" r="4445" b="635"/>
            <wp:docPr id="1584807656" name="Picture 158480765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7656" name="Picture 1584807656" descr="A screenshot of a graph&#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6358" cy="2310608"/>
                    </a:xfrm>
                    <a:prstGeom prst="rect">
                      <a:avLst/>
                    </a:prstGeom>
                    <a:noFill/>
                  </pic:spPr>
                </pic:pic>
              </a:graphicData>
            </a:graphic>
          </wp:inline>
        </w:drawing>
      </w:r>
    </w:p>
    <w:p w14:paraId="34EEA3B4" w14:textId="5918C7B3"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pacing w:val="5"/>
          <w:sz w:val="20"/>
          <w:szCs w:val="20"/>
        </w:rPr>
        <w:br/>
      </w:r>
      <w:r w:rsidRPr="00BD6897">
        <w:rPr>
          <w:rFonts w:cstheme="minorHAnsi"/>
          <w:color w:val="595959" w:themeColor="text1" w:themeTint="A6"/>
          <w:sz w:val="20"/>
          <w:szCs w:val="20"/>
        </w:rPr>
        <w:t>The above charts are based on the same monthly U.S. stock returns from 1926 to 2023. The left chart shows the frequency of one year returns</w:t>
      </w:r>
      <w:r w:rsidR="00947406">
        <w:rPr>
          <w:rFonts w:cstheme="minorHAnsi"/>
          <w:color w:val="595959" w:themeColor="text1" w:themeTint="A6"/>
          <w:sz w:val="20"/>
          <w:szCs w:val="20"/>
        </w:rPr>
        <w:t>,</w:t>
      </w:r>
      <w:r w:rsidRPr="00BD6897">
        <w:rPr>
          <w:rFonts w:cstheme="minorHAnsi"/>
          <w:color w:val="595959" w:themeColor="text1" w:themeTint="A6"/>
          <w:sz w:val="20"/>
          <w:szCs w:val="20"/>
        </w:rPr>
        <w:t xml:space="preserve"> while the chart on the right shows the frequency of ten-year returns. In each case, the gray bars reflect the frequency of losing money over the time horizon</w:t>
      </w:r>
      <w:r w:rsidR="002008EC">
        <w:rPr>
          <w:rFonts w:cstheme="minorHAnsi"/>
          <w:color w:val="595959" w:themeColor="text1" w:themeTint="A6"/>
          <w:sz w:val="20"/>
          <w:szCs w:val="20"/>
        </w:rPr>
        <w:t>,</w:t>
      </w:r>
      <w:r w:rsidRPr="00BD6897">
        <w:rPr>
          <w:rFonts w:cstheme="minorHAnsi"/>
          <w:color w:val="595959" w:themeColor="text1" w:themeTint="A6"/>
          <w:sz w:val="20"/>
          <w:szCs w:val="20"/>
        </w:rPr>
        <w:t xml:space="preserve"> and the blue bars reflect the positive outcomes. Seventy-five percent of the time</w:t>
      </w:r>
      <w:r w:rsidR="0085455B">
        <w:rPr>
          <w:rFonts w:cstheme="minorHAnsi"/>
          <w:color w:val="595959" w:themeColor="text1" w:themeTint="A6"/>
          <w:sz w:val="20"/>
          <w:szCs w:val="20"/>
        </w:rPr>
        <w:t>,</w:t>
      </w:r>
      <w:r w:rsidRPr="00BD6897">
        <w:rPr>
          <w:rFonts w:cstheme="minorHAnsi"/>
          <w:color w:val="595959" w:themeColor="text1" w:themeTint="A6"/>
          <w:sz w:val="20"/>
          <w:szCs w:val="20"/>
        </w:rPr>
        <w:t xml:space="preserve"> stocks posted a positive return over a one-year horizon, but on a ten-year horizon, the frequency increases to ninety</w:t>
      </w:r>
      <w:r w:rsidR="0085455B">
        <w:rPr>
          <w:rFonts w:cstheme="minorHAnsi"/>
          <w:color w:val="595959" w:themeColor="text1" w:themeTint="A6"/>
          <w:sz w:val="20"/>
          <w:szCs w:val="20"/>
        </w:rPr>
        <w:t>-</w:t>
      </w:r>
      <w:r w:rsidRPr="00BD6897">
        <w:rPr>
          <w:rFonts w:cstheme="minorHAnsi"/>
          <w:color w:val="595959" w:themeColor="text1" w:themeTint="A6"/>
          <w:sz w:val="20"/>
          <w:szCs w:val="20"/>
        </w:rPr>
        <w:t>five percent of the time that stocks have posted positive returns. These probabilities rise when looking at post</w:t>
      </w:r>
      <w:r w:rsidR="0085455B">
        <w:rPr>
          <w:rFonts w:cstheme="minorHAnsi"/>
          <w:color w:val="595959" w:themeColor="text1" w:themeTint="A6"/>
          <w:sz w:val="20"/>
          <w:szCs w:val="20"/>
        </w:rPr>
        <w:t>-</w:t>
      </w:r>
      <w:r w:rsidRPr="00BD6897">
        <w:rPr>
          <w:rFonts w:cstheme="minorHAnsi"/>
          <w:color w:val="595959" w:themeColor="text1" w:themeTint="A6"/>
          <w:sz w:val="20"/>
          <w:szCs w:val="20"/>
        </w:rPr>
        <w:t xml:space="preserve">WWII returns. </w:t>
      </w:r>
    </w:p>
    <w:p w14:paraId="420AF4BA" w14:textId="77777777" w:rsidR="005D3039" w:rsidRPr="00BD6897" w:rsidRDefault="005D3039" w:rsidP="0086174A">
      <w:pPr>
        <w:rPr>
          <w:rFonts w:cstheme="minorHAnsi"/>
          <w:color w:val="595959" w:themeColor="text1" w:themeTint="A6"/>
          <w:sz w:val="20"/>
          <w:szCs w:val="20"/>
        </w:rPr>
      </w:pPr>
    </w:p>
    <w:p w14:paraId="395B5039" w14:textId="77777777" w:rsidR="005D3039"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 xml:space="preserve">We believe the best way to counteract cognitive biases, and to win as an equity investor, is to focus on longer horizons. While the ten-year probability distribution is extremely favorable, the psychological burden of holding for a decade can be substantial. Just think of all the wars, crises, economic turmoil, and short-term panics that occur in markets over any given decade. </w:t>
      </w:r>
    </w:p>
    <w:p w14:paraId="7F216D93" w14:textId="77777777" w:rsidR="005D3039" w:rsidRPr="00BD6897" w:rsidRDefault="005D3039" w:rsidP="0086174A">
      <w:pPr>
        <w:rPr>
          <w:rFonts w:cstheme="minorHAnsi"/>
          <w:color w:val="595959" w:themeColor="text1" w:themeTint="A6"/>
          <w:sz w:val="20"/>
          <w:szCs w:val="20"/>
        </w:rPr>
      </w:pPr>
    </w:p>
    <w:p w14:paraId="241DE7B0" w14:textId="7C798570" w:rsidR="0086174A" w:rsidRPr="00BD6897" w:rsidRDefault="005D3039" w:rsidP="0086174A">
      <w:pPr>
        <w:rPr>
          <w:rFonts w:cstheme="minorHAnsi"/>
          <w:color w:val="595959" w:themeColor="text1" w:themeTint="A6"/>
          <w:sz w:val="20"/>
          <w:szCs w:val="20"/>
        </w:rPr>
      </w:pPr>
      <w:r w:rsidRPr="00BD6897">
        <w:rPr>
          <w:rFonts w:cstheme="minorHAnsi"/>
          <w:color w:val="595959" w:themeColor="text1" w:themeTint="A6"/>
          <w:sz w:val="20"/>
          <w:szCs w:val="20"/>
        </w:rPr>
        <w:t xml:space="preserve">Feel free to reach out to me to discuss tools and techniques to extend your time horizon as an investor. We can review whether you have an appropriate amount of risk in your portfolio, assess how diversified your portfolio is, and discuss how Wealthcare's Comfort Zone process focusing on attaining long term goals can help you maintain this critical long-term perspective. </w:t>
      </w:r>
    </w:p>
    <w:p w14:paraId="0FF779B9" w14:textId="77777777" w:rsidR="0086174A" w:rsidRDefault="0086174A" w:rsidP="0086174A">
      <w:pPr>
        <w:rPr>
          <w:rFonts w:cstheme="minorHAnsi"/>
          <w:color w:val="241F3D"/>
          <w:sz w:val="20"/>
          <w:szCs w:val="20"/>
        </w:rPr>
      </w:pPr>
    </w:p>
    <w:p w14:paraId="1D77ACA3" w14:textId="77777777" w:rsidR="00DA36C0" w:rsidRDefault="00DA36C0" w:rsidP="00BD6897">
      <w:pPr>
        <w:pStyle w:val="FootnoteText"/>
        <w:rPr>
          <w:color w:val="808080" w:themeColor="background1" w:themeShade="80"/>
          <w:sz w:val="16"/>
          <w:szCs w:val="16"/>
        </w:rPr>
      </w:pPr>
      <w:r w:rsidRPr="00BD6897">
        <w:rPr>
          <w:rStyle w:val="FootnoteReference"/>
          <w:color w:val="808080" w:themeColor="background1" w:themeShade="80"/>
          <w:sz w:val="16"/>
          <w:szCs w:val="16"/>
          <w:vertAlign w:val="baseline"/>
        </w:rPr>
        <w:footnoteRef/>
      </w:r>
      <w:r w:rsidRPr="00BD6897">
        <w:rPr>
          <w:rStyle w:val="FootnoteReference"/>
          <w:color w:val="808080" w:themeColor="background1" w:themeShade="80"/>
          <w:sz w:val="16"/>
          <w:szCs w:val="16"/>
          <w:vertAlign w:val="baseline"/>
        </w:rPr>
        <w:t xml:space="preserve"> Source: Morningstar, MPI Stylus, Wealthcare, Data sources include IA SBBI Large Stocks, Long Term Govt Bonds, Tbills, Inflation. </w:t>
      </w:r>
    </w:p>
    <w:p w14:paraId="73E2D0F3" w14:textId="77777777" w:rsidR="00BD6897" w:rsidRDefault="00BD6897" w:rsidP="00BD6897">
      <w:pPr>
        <w:pStyle w:val="FootnoteText"/>
        <w:rPr>
          <w:color w:val="808080" w:themeColor="background1" w:themeShade="80"/>
          <w:sz w:val="16"/>
          <w:szCs w:val="16"/>
        </w:rPr>
      </w:pPr>
    </w:p>
    <w:p w14:paraId="70324C7F" w14:textId="77777777" w:rsidR="00BD6897" w:rsidRDefault="00BD6897" w:rsidP="00BD6897">
      <w:pPr>
        <w:pStyle w:val="FootnoteText"/>
        <w:rPr>
          <w:color w:val="808080" w:themeColor="background1" w:themeShade="80"/>
          <w:sz w:val="16"/>
          <w:szCs w:val="16"/>
        </w:rPr>
      </w:pPr>
    </w:p>
    <w:p w14:paraId="2433132E" w14:textId="77777777" w:rsidR="00BD6897" w:rsidRDefault="00BD6897" w:rsidP="00BD6897">
      <w:pPr>
        <w:pStyle w:val="FootnoteText"/>
        <w:rPr>
          <w:color w:val="808080" w:themeColor="background1" w:themeShade="80"/>
          <w:sz w:val="16"/>
          <w:szCs w:val="16"/>
        </w:rPr>
      </w:pPr>
    </w:p>
    <w:p w14:paraId="2A922734" w14:textId="77777777" w:rsidR="00BD6897" w:rsidRDefault="00BD6897" w:rsidP="00BD6897">
      <w:pPr>
        <w:pStyle w:val="FootnoteText"/>
        <w:rPr>
          <w:color w:val="808080" w:themeColor="background1" w:themeShade="80"/>
          <w:sz w:val="16"/>
          <w:szCs w:val="16"/>
        </w:rPr>
      </w:pPr>
    </w:p>
    <w:p w14:paraId="6A9B17FF" w14:textId="77777777" w:rsidR="00BD6897" w:rsidRDefault="00BD6897" w:rsidP="00BD6897">
      <w:pPr>
        <w:pStyle w:val="FootnoteText"/>
        <w:rPr>
          <w:color w:val="808080" w:themeColor="background1" w:themeShade="80"/>
          <w:sz w:val="16"/>
          <w:szCs w:val="16"/>
        </w:rPr>
      </w:pPr>
    </w:p>
    <w:p w14:paraId="71C86B14" w14:textId="77777777" w:rsidR="00BD6897" w:rsidRDefault="00BD6897" w:rsidP="00BD6897">
      <w:pPr>
        <w:pStyle w:val="FootnoteText"/>
        <w:rPr>
          <w:color w:val="808080" w:themeColor="background1" w:themeShade="80"/>
          <w:sz w:val="16"/>
          <w:szCs w:val="16"/>
        </w:rPr>
      </w:pPr>
    </w:p>
    <w:p w14:paraId="714BDCF6" w14:textId="77777777" w:rsidR="00BD6897" w:rsidRDefault="00BD6897" w:rsidP="00BD6897">
      <w:pPr>
        <w:pStyle w:val="FootnoteText"/>
        <w:rPr>
          <w:color w:val="808080" w:themeColor="background1" w:themeShade="80"/>
          <w:sz w:val="16"/>
          <w:szCs w:val="16"/>
        </w:rPr>
      </w:pPr>
    </w:p>
    <w:p w14:paraId="7D4BD4E2" w14:textId="77777777" w:rsidR="00BD6897" w:rsidRDefault="00BD6897" w:rsidP="00BD6897">
      <w:pPr>
        <w:pStyle w:val="FootnoteText"/>
        <w:rPr>
          <w:color w:val="808080" w:themeColor="background1" w:themeShade="80"/>
          <w:sz w:val="16"/>
          <w:szCs w:val="16"/>
        </w:rPr>
      </w:pPr>
    </w:p>
    <w:p w14:paraId="7771440B" w14:textId="77777777" w:rsidR="00BD6897" w:rsidRDefault="00BD6897" w:rsidP="00BD6897">
      <w:pPr>
        <w:pStyle w:val="FootnoteText"/>
        <w:rPr>
          <w:color w:val="808080" w:themeColor="background1" w:themeShade="80"/>
          <w:sz w:val="16"/>
          <w:szCs w:val="16"/>
        </w:rPr>
      </w:pPr>
    </w:p>
    <w:p w14:paraId="3EA04EB0" w14:textId="77777777" w:rsidR="00BD6897" w:rsidRDefault="00BD6897" w:rsidP="00BD6897">
      <w:pPr>
        <w:pStyle w:val="FootnoteText"/>
        <w:rPr>
          <w:color w:val="808080" w:themeColor="background1" w:themeShade="80"/>
          <w:sz w:val="16"/>
          <w:szCs w:val="16"/>
        </w:rPr>
      </w:pPr>
    </w:p>
    <w:p w14:paraId="001D5072" w14:textId="77777777" w:rsidR="00BD6897" w:rsidRDefault="00BD6897" w:rsidP="00BD6897">
      <w:pPr>
        <w:pStyle w:val="FootnoteText"/>
        <w:rPr>
          <w:color w:val="808080" w:themeColor="background1" w:themeShade="80"/>
          <w:sz w:val="16"/>
          <w:szCs w:val="16"/>
        </w:rPr>
      </w:pPr>
    </w:p>
    <w:p w14:paraId="4CA1CA8B" w14:textId="6664202D" w:rsidR="00BD6897" w:rsidRDefault="00BD6897" w:rsidP="00BD6897">
      <w:pPr>
        <w:pStyle w:val="FootnoteText"/>
        <w:rPr>
          <w:color w:val="808080" w:themeColor="background1" w:themeShade="80"/>
          <w:sz w:val="16"/>
          <w:szCs w:val="16"/>
        </w:rPr>
      </w:pPr>
      <w:r>
        <w:rPr>
          <w:noProof/>
          <w:color w:val="FFFFFF" w:themeColor="background1"/>
          <w:sz w:val="16"/>
          <w:szCs w:val="16"/>
        </w:rPr>
        <mc:AlternateContent>
          <mc:Choice Requires="wps">
            <w:drawing>
              <wp:anchor distT="0" distB="0" distL="114300" distR="114300" simplePos="0" relativeHeight="251658244" behindDoc="0" locked="0" layoutInCell="1" allowOverlap="1" wp14:anchorId="2A33582F" wp14:editId="3FBFF1A9">
                <wp:simplePos x="0" y="0"/>
                <wp:positionH relativeFrom="column">
                  <wp:posOffset>-70338</wp:posOffset>
                </wp:positionH>
                <wp:positionV relativeFrom="paragraph">
                  <wp:posOffset>161974</wp:posOffset>
                </wp:positionV>
                <wp:extent cx="2083776" cy="351692"/>
                <wp:effectExtent l="0" t="0" r="0" b="0"/>
                <wp:wrapNone/>
                <wp:docPr id="1462019179" name="Rectangle 1462019179"/>
                <wp:cNvGraphicFramePr/>
                <a:graphic xmlns:a="http://schemas.openxmlformats.org/drawingml/2006/main">
                  <a:graphicData uri="http://schemas.microsoft.com/office/word/2010/wordprocessingShape">
                    <wps:wsp>
                      <wps:cNvSpPr/>
                      <wps:spPr>
                        <a:xfrm>
                          <a:off x="0" y="0"/>
                          <a:ext cx="2083776" cy="35169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AF1A8" id="Rectangle 1" o:spid="_x0000_s1026" style="position:absolute;margin-left:-5.55pt;margin-top:12.75pt;width:164.1pt;height:27.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" fillcolor="white [3212]" stroked="f" strokeweight="2pt"/>
            </w:pict>
          </mc:Fallback>
        </mc:AlternateContent>
      </w:r>
    </w:p>
    <w:p w14:paraId="49DD7EB5" w14:textId="77777777" w:rsidR="00BD6897" w:rsidRDefault="00BD6897" w:rsidP="00BD6897">
      <w:pPr>
        <w:pStyle w:val="FootnoteText"/>
        <w:rPr>
          <w:color w:val="808080" w:themeColor="background1" w:themeShade="80"/>
          <w:sz w:val="16"/>
          <w:szCs w:val="16"/>
        </w:rPr>
      </w:pPr>
    </w:p>
    <w:p w14:paraId="6D9B86C0" w14:textId="77777777" w:rsidR="00BD6897" w:rsidRDefault="00BD6897" w:rsidP="00BD6897">
      <w:pPr>
        <w:pStyle w:val="FootnoteText"/>
        <w:rPr>
          <w:color w:val="808080" w:themeColor="background1" w:themeShade="80"/>
          <w:sz w:val="16"/>
          <w:szCs w:val="16"/>
        </w:rPr>
      </w:pPr>
    </w:p>
    <w:p w14:paraId="07B7689D" w14:textId="77777777" w:rsidR="00BD6897" w:rsidRDefault="00BD6897" w:rsidP="00BD6897">
      <w:pPr>
        <w:pStyle w:val="FootnoteText"/>
        <w:rPr>
          <w:color w:val="808080" w:themeColor="background1" w:themeShade="80"/>
          <w:sz w:val="16"/>
          <w:szCs w:val="16"/>
        </w:rPr>
      </w:pPr>
    </w:p>
    <w:p w14:paraId="69B38177" w14:textId="77777777" w:rsidR="00BD6897" w:rsidRPr="00BD6897" w:rsidRDefault="00BD6897" w:rsidP="00BD6897">
      <w:pPr>
        <w:pStyle w:val="FootnoteText"/>
        <w:rPr>
          <w:rStyle w:val="FootnoteReference"/>
          <w:color w:val="808080" w:themeColor="background1" w:themeShade="80"/>
          <w:sz w:val="16"/>
          <w:szCs w:val="16"/>
          <w:vertAlign w:val="baseline"/>
        </w:rPr>
      </w:pPr>
    </w:p>
    <w:p w14:paraId="7DA6A690" w14:textId="77777777" w:rsidR="0086174A" w:rsidRPr="00D226A9" w:rsidRDefault="0086174A" w:rsidP="0086174A">
      <w:pPr>
        <w:rPr>
          <w:rFonts w:cstheme="minorHAnsi"/>
          <w:color w:val="241F3D"/>
          <w:sz w:val="10"/>
          <w:szCs w:val="10"/>
        </w:rPr>
      </w:pPr>
    </w:p>
    <w:p w14:paraId="2D1A4A8E" w14:textId="77777777" w:rsidR="00BD6897" w:rsidRDefault="00BD6897" w:rsidP="00D226A9">
      <w:pPr>
        <w:spacing w:after="60"/>
        <w:rPr>
          <w:rFonts w:cstheme="minorHAnsi"/>
          <w:color w:val="58595B"/>
          <w:sz w:val="16"/>
          <w:szCs w:val="16"/>
        </w:rPr>
      </w:pPr>
    </w:p>
    <w:p w14:paraId="1044B78C" w14:textId="77777777" w:rsidR="00BD6897" w:rsidRDefault="00BD6897" w:rsidP="00D226A9">
      <w:pPr>
        <w:spacing w:after="60"/>
        <w:rPr>
          <w:rFonts w:cstheme="minorHAnsi"/>
          <w:color w:val="58595B"/>
          <w:sz w:val="16"/>
          <w:szCs w:val="16"/>
        </w:rPr>
      </w:pPr>
    </w:p>
    <w:p w14:paraId="0288BF47" w14:textId="77777777" w:rsidR="00BD6897" w:rsidRDefault="00BD6897" w:rsidP="00D226A9">
      <w:pPr>
        <w:spacing w:after="60"/>
        <w:rPr>
          <w:rFonts w:cstheme="minorHAnsi"/>
          <w:color w:val="58595B"/>
          <w:sz w:val="16"/>
          <w:szCs w:val="16"/>
        </w:rPr>
      </w:pPr>
    </w:p>
    <w:p w14:paraId="5C0DC40D" w14:textId="77777777" w:rsidR="00BD6897" w:rsidRDefault="00BD6897" w:rsidP="00D226A9">
      <w:pPr>
        <w:spacing w:after="60"/>
        <w:rPr>
          <w:rFonts w:cstheme="minorHAnsi"/>
          <w:color w:val="58595B"/>
          <w:sz w:val="16"/>
          <w:szCs w:val="16"/>
        </w:rPr>
      </w:pPr>
    </w:p>
    <w:p w14:paraId="5027B0A5" w14:textId="77777777" w:rsidR="00BD6897" w:rsidRDefault="00BD6897" w:rsidP="00D226A9">
      <w:pPr>
        <w:spacing w:after="60"/>
        <w:rPr>
          <w:rFonts w:cstheme="minorHAnsi"/>
          <w:color w:val="58595B"/>
          <w:sz w:val="16"/>
          <w:szCs w:val="16"/>
        </w:rPr>
      </w:pPr>
    </w:p>
    <w:p w14:paraId="19406FDF" w14:textId="77777777" w:rsidR="00BD6897" w:rsidRDefault="00BD6897" w:rsidP="00D226A9">
      <w:pPr>
        <w:spacing w:after="60"/>
        <w:rPr>
          <w:rFonts w:cstheme="minorHAnsi"/>
          <w:color w:val="58595B"/>
          <w:sz w:val="16"/>
          <w:szCs w:val="16"/>
        </w:rPr>
      </w:pPr>
    </w:p>
    <w:p w14:paraId="0CAA59E2" w14:textId="77777777" w:rsidR="00BD6897" w:rsidRDefault="00BD6897" w:rsidP="00D226A9">
      <w:pPr>
        <w:spacing w:after="60"/>
        <w:rPr>
          <w:rFonts w:cstheme="minorHAnsi"/>
          <w:color w:val="58595B"/>
          <w:sz w:val="16"/>
          <w:szCs w:val="16"/>
        </w:rPr>
      </w:pPr>
    </w:p>
    <w:p w14:paraId="026A1D89" w14:textId="77777777" w:rsidR="00BD6897" w:rsidRDefault="00BD6897" w:rsidP="00D226A9">
      <w:pPr>
        <w:spacing w:after="60"/>
        <w:rPr>
          <w:rFonts w:cstheme="minorHAnsi"/>
          <w:color w:val="58595B"/>
          <w:sz w:val="16"/>
          <w:szCs w:val="16"/>
        </w:rPr>
      </w:pPr>
    </w:p>
    <w:p w14:paraId="435CC54E" w14:textId="77777777" w:rsidR="00BD6897" w:rsidRDefault="00BD6897" w:rsidP="00D226A9">
      <w:pPr>
        <w:spacing w:after="60"/>
        <w:rPr>
          <w:rFonts w:cstheme="minorHAnsi"/>
          <w:color w:val="58595B"/>
          <w:sz w:val="16"/>
          <w:szCs w:val="16"/>
        </w:rPr>
      </w:pPr>
    </w:p>
    <w:p w14:paraId="72CD0A02" w14:textId="77777777" w:rsidR="00BD6897" w:rsidRDefault="00BD6897" w:rsidP="00D226A9">
      <w:pPr>
        <w:spacing w:after="60"/>
        <w:rPr>
          <w:rFonts w:cstheme="minorHAnsi"/>
          <w:color w:val="58595B"/>
          <w:sz w:val="16"/>
          <w:szCs w:val="16"/>
        </w:rPr>
      </w:pPr>
    </w:p>
    <w:p w14:paraId="625B4A3E" w14:textId="77777777" w:rsidR="00BD6897" w:rsidRDefault="00BD6897" w:rsidP="00D226A9">
      <w:pPr>
        <w:spacing w:after="60"/>
        <w:rPr>
          <w:rFonts w:cstheme="minorHAnsi"/>
          <w:color w:val="58595B"/>
          <w:sz w:val="16"/>
          <w:szCs w:val="16"/>
        </w:rPr>
      </w:pPr>
    </w:p>
    <w:p w14:paraId="134DF29F" w14:textId="77777777" w:rsidR="00BD6897" w:rsidRDefault="00BD6897" w:rsidP="00D226A9">
      <w:pPr>
        <w:spacing w:after="60"/>
        <w:rPr>
          <w:rFonts w:cstheme="minorHAnsi"/>
          <w:color w:val="58595B"/>
          <w:sz w:val="16"/>
          <w:szCs w:val="16"/>
        </w:rPr>
      </w:pPr>
    </w:p>
    <w:p w14:paraId="2572E0A3" w14:textId="77777777" w:rsidR="00BD6897" w:rsidRDefault="00BD6897" w:rsidP="00D226A9">
      <w:pPr>
        <w:spacing w:after="60"/>
        <w:rPr>
          <w:rFonts w:cstheme="minorHAnsi"/>
          <w:color w:val="58595B"/>
          <w:sz w:val="16"/>
          <w:szCs w:val="16"/>
        </w:rPr>
      </w:pPr>
    </w:p>
    <w:p w14:paraId="51E46D3D" w14:textId="77777777" w:rsidR="00BD6897" w:rsidRDefault="00BD6897" w:rsidP="00D226A9">
      <w:pPr>
        <w:spacing w:after="60"/>
        <w:rPr>
          <w:rFonts w:cstheme="minorHAnsi"/>
          <w:color w:val="58595B"/>
          <w:sz w:val="16"/>
          <w:szCs w:val="16"/>
        </w:rPr>
      </w:pPr>
    </w:p>
    <w:p w14:paraId="79FB07E2" w14:textId="77777777" w:rsidR="00BD6897" w:rsidRDefault="00BD6897" w:rsidP="00D226A9">
      <w:pPr>
        <w:spacing w:after="60"/>
        <w:rPr>
          <w:rFonts w:cstheme="minorHAnsi"/>
          <w:color w:val="58595B"/>
          <w:sz w:val="16"/>
          <w:szCs w:val="16"/>
        </w:rPr>
      </w:pPr>
    </w:p>
    <w:p w14:paraId="436AC641" w14:textId="77777777" w:rsidR="00BD6897" w:rsidRDefault="00BD6897" w:rsidP="00D226A9">
      <w:pPr>
        <w:spacing w:after="60"/>
        <w:rPr>
          <w:rFonts w:cstheme="minorHAnsi"/>
          <w:color w:val="58595B"/>
          <w:sz w:val="16"/>
          <w:szCs w:val="16"/>
        </w:rPr>
      </w:pPr>
    </w:p>
    <w:p w14:paraId="47733F53" w14:textId="77777777" w:rsidR="00BD6897" w:rsidRDefault="00BD6897" w:rsidP="00D226A9">
      <w:pPr>
        <w:spacing w:after="60"/>
        <w:rPr>
          <w:rFonts w:cstheme="minorHAnsi"/>
          <w:color w:val="58595B"/>
          <w:sz w:val="16"/>
          <w:szCs w:val="16"/>
        </w:rPr>
      </w:pPr>
    </w:p>
    <w:p w14:paraId="7517C3DC" w14:textId="77777777" w:rsidR="00BD6897" w:rsidRDefault="00BD6897" w:rsidP="00D226A9">
      <w:pPr>
        <w:spacing w:after="60"/>
        <w:rPr>
          <w:rFonts w:cstheme="minorHAnsi"/>
          <w:color w:val="58595B"/>
          <w:sz w:val="16"/>
          <w:szCs w:val="16"/>
        </w:rPr>
      </w:pPr>
    </w:p>
    <w:p w14:paraId="5EC91F4C" w14:textId="77777777" w:rsidR="00BD6897" w:rsidRDefault="00BD6897" w:rsidP="00D226A9">
      <w:pPr>
        <w:spacing w:after="60"/>
        <w:rPr>
          <w:rFonts w:cstheme="minorHAnsi"/>
          <w:color w:val="58595B"/>
          <w:sz w:val="16"/>
          <w:szCs w:val="16"/>
        </w:rPr>
      </w:pPr>
    </w:p>
    <w:p w14:paraId="151FA971" w14:textId="77777777" w:rsidR="00BD6897" w:rsidRDefault="00BD6897" w:rsidP="00D226A9">
      <w:pPr>
        <w:spacing w:after="60"/>
        <w:rPr>
          <w:rFonts w:cstheme="minorHAnsi"/>
          <w:color w:val="58595B"/>
          <w:sz w:val="16"/>
          <w:szCs w:val="16"/>
        </w:rPr>
      </w:pPr>
    </w:p>
    <w:p w14:paraId="6B5A4C21" w14:textId="77777777" w:rsidR="00BD6897" w:rsidRDefault="00BD6897" w:rsidP="00D226A9">
      <w:pPr>
        <w:spacing w:after="60"/>
        <w:rPr>
          <w:rFonts w:cstheme="minorHAnsi"/>
          <w:color w:val="58595B"/>
          <w:sz w:val="16"/>
          <w:szCs w:val="16"/>
        </w:rPr>
      </w:pPr>
    </w:p>
    <w:p w14:paraId="5080F58D" w14:textId="77777777" w:rsidR="00BD6897" w:rsidRDefault="00BD6897" w:rsidP="00D226A9">
      <w:pPr>
        <w:spacing w:after="60"/>
        <w:rPr>
          <w:rFonts w:cstheme="minorHAnsi"/>
          <w:color w:val="58595B"/>
          <w:sz w:val="16"/>
          <w:szCs w:val="16"/>
        </w:rPr>
      </w:pPr>
    </w:p>
    <w:p w14:paraId="57167009" w14:textId="77777777" w:rsidR="00BD6897" w:rsidRDefault="00BD6897" w:rsidP="00D226A9">
      <w:pPr>
        <w:spacing w:after="60"/>
        <w:rPr>
          <w:rFonts w:cstheme="minorHAnsi"/>
          <w:color w:val="58595B"/>
          <w:sz w:val="16"/>
          <w:szCs w:val="16"/>
        </w:rPr>
      </w:pPr>
    </w:p>
    <w:p w14:paraId="0E5B40DA" w14:textId="77777777" w:rsidR="00BD6897" w:rsidRDefault="00BD6897" w:rsidP="00D226A9">
      <w:pPr>
        <w:spacing w:after="60"/>
        <w:rPr>
          <w:rFonts w:cstheme="minorHAnsi"/>
          <w:color w:val="58595B"/>
          <w:sz w:val="16"/>
          <w:szCs w:val="16"/>
        </w:rPr>
      </w:pPr>
    </w:p>
    <w:p w14:paraId="1CC283E8" w14:textId="77777777" w:rsidR="00BD6897" w:rsidRDefault="00BD6897" w:rsidP="00D226A9">
      <w:pPr>
        <w:spacing w:after="60"/>
        <w:rPr>
          <w:rFonts w:cstheme="minorHAnsi"/>
          <w:color w:val="58595B"/>
          <w:sz w:val="16"/>
          <w:szCs w:val="16"/>
        </w:rPr>
      </w:pPr>
    </w:p>
    <w:p w14:paraId="748D4E1E" w14:textId="77777777" w:rsidR="00BD6897" w:rsidRDefault="00BD6897" w:rsidP="00D226A9">
      <w:pPr>
        <w:spacing w:after="60"/>
        <w:rPr>
          <w:rFonts w:cstheme="minorHAnsi"/>
          <w:color w:val="58595B"/>
          <w:sz w:val="16"/>
          <w:szCs w:val="16"/>
        </w:rPr>
      </w:pPr>
    </w:p>
    <w:p w14:paraId="10CE1832" w14:textId="77777777" w:rsidR="00BD6897" w:rsidRDefault="00BD6897" w:rsidP="00D226A9">
      <w:pPr>
        <w:spacing w:after="60"/>
        <w:rPr>
          <w:rFonts w:cstheme="minorHAnsi"/>
          <w:color w:val="58595B"/>
          <w:sz w:val="16"/>
          <w:szCs w:val="16"/>
        </w:rPr>
      </w:pPr>
    </w:p>
    <w:p w14:paraId="3346FEDF" w14:textId="77777777" w:rsidR="00BD6897" w:rsidRDefault="00BD6897" w:rsidP="00D226A9">
      <w:pPr>
        <w:spacing w:after="60"/>
        <w:rPr>
          <w:rFonts w:cstheme="minorHAnsi"/>
          <w:color w:val="58595B"/>
          <w:sz w:val="16"/>
          <w:szCs w:val="16"/>
        </w:rPr>
      </w:pPr>
    </w:p>
    <w:p w14:paraId="04AB7DA7" w14:textId="77777777" w:rsidR="00BD6897" w:rsidRDefault="00BD6897" w:rsidP="00D226A9">
      <w:pPr>
        <w:spacing w:after="60"/>
        <w:rPr>
          <w:rFonts w:cstheme="minorHAnsi"/>
          <w:color w:val="58595B"/>
          <w:sz w:val="16"/>
          <w:szCs w:val="16"/>
        </w:rPr>
      </w:pPr>
    </w:p>
    <w:p w14:paraId="17C1B19A" w14:textId="77777777" w:rsidR="00BD6897" w:rsidRDefault="00BD6897" w:rsidP="00D226A9">
      <w:pPr>
        <w:spacing w:after="60"/>
        <w:rPr>
          <w:rFonts w:cstheme="minorHAnsi"/>
          <w:color w:val="58595B"/>
          <w:sz w:val="16"/>
          <w:szCs w:val="16"/>
        </w:rPr>
      </w:pPr>
    </w:p>
    <w:p w14:paraId="70EFC8E8" w14:textId="77777777" w:rsidR="00BD6897" w:rsidRDefault="00BD6897" w:rsidP="00D226A9">
      <w:pPr>
        <w:spacing w:after="60"/>
        <w:rPr>
          <w:rFonts w:cstheme="minorHAnsi"/>
          <w:color w:val="58595B"/>
          <w:sz w:val="16"/>
          <w:szCs w:val="16"/>
        </w:rPr>
      </w:pPr>
    </w:p>
    <w:p w14:paraId="42FAB85D" w14:textId="77777777" w:rsidR="00BD6897" w:rsidRDefault="00BD6897" w:rsidP="00D226A9">
      <w:pPr>
        <w:spacing w:after="60"/>
        <w:rPr>
          <w:rFonts w:cstheme="minorHAnsi"/>
          <w:color w:val="58595B"/>
          <w:sz w:val="16"/>
          <w:szCs w:val="16"/>
        </w:rPr>
      </w:pPr>
    </w:p>
    <w:p w14:paraId="3C01EC45" w14:textId="4EA38BEF"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©2023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58243"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reliable, but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13CC9873" w14:textId="226C4173" w:rsidR="005D3039" w:rsidRPr="00BD6897" w:rsidRDefault="006D7D2C" w:rsidP="00BD6897">
      <w:pPr>
        <w:tabs>
          <w:tab w:val="left" w:pos="3000"/>
        </w:tabs>
        <w:jc w:val="center"/>
        <w:rPr>
          <w:rStyle w:val="normaltextrun"/>
          <w:rFonts w:eastAsia="Proxima Nova Rg" w:cs="Proxima Nova Rg"/>
          <w:color w:val="58595B"/>
          <w:sz w:val="24"/>
          <w:szCs w:val="16"/>
        </w:rPr>
      </w:pPr>
      <w:r w:rsidRPr="002D4A72">
        <w:rPr>
          <w:rFonts w:eastAsia="Proxima Nova Rg" w:cs="Proxima Nova Rg"/>
          <w:caps/>
          <w:color w:val="58595B"/>
          <w:sz w:val="24"/>
          <w:szCs w:val="16"/>
        </w:rPr>
        <w:t>Wealthcaregdx.com</w:t>
      </w:r>
    </w:p>
    <w:sectPr w:rsidR="005D3039" w:rsidRPr="00BD6897" w:rsidSect="00A4402B">
      <w:headerReference w:type="default" r:id="rId24"/>
      <w:footerReference w:type="default" r:id="rId25"/>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94F2C" w14:textId="77777777" w:rsidR="00EF3696" w:rsidRDefault="00EF3696">
      <w:r>
        <w:separator/>
      </w:r>
    </w:p>
  </w:endnote>
  <w:endnote w:type="continuationSeparator" w:id="0">
    <w:p w14:paraId="28F16A4B" w14:textId="77777777" w:rsidR="00EF3696" w:rsidRDefault="00EF3696">
      <w:r>
        <w:continuationSeparator/>
      </w:r>
    </w:p>
  </w:endnote>
  <w:endnote w:type="continuationNotice" w:id="1">
    <w:p w14:paraId="77E14E06" w14:textId="77777777" w:rsidR="00EF3696" w:rsidRDefault="00EF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AB4B" w14:textId="77777777" w:rsidR="00EF3696" w:rsidRDefault="00EF3696">
      <w:r>
        <w:separator/>
      </w:r>
    </w:p>
  </w:footnote>
  <w:footnote w:type="continuationSeparator" w:id="0">
    <w:p w14:paraId="38E211B5" w14:textId="77777777" w:rsidR="00EF3696" w:rsidRDefault="00EF3696">
      <w:r>
        <w:continuationSeparator/>
      </w:r>
    </w:p>
  </w:footnote>
  <w:footnote w:type="continuationNotice" w:id="1">
    <w:p w14:paraId="250A99A5" w14:textId="77777777" w:rsidR="00EF3696" w:rsidRDefault="00EF3696"/>
  </w:footnote>
  <w:footnote w:id="2">
    <w:p w14:paraId="319C32EC" w14:textId="77777777" w:rsidR="005D3039" w:rsidRDefault="005D3039" w:rsidP="00B65D5D">
      <w:pPr>
        <w:pStyle w:val="FootnoteText"/>
        <w:ind w:left="720"/>
      </w:pPr>
      <w:r w:rsidRPr="00B65D5D">
        <w:rPr>
          <w:rStyle w:val="FootnoteReference"/>
          <w:color w:val="808080" w:themeColor="background1" w:themeShade="80"/>
          <w:sz w:val="16"/>
          <w:szCs w:val="16"/>
        </w:rPr>
        <w:footnoteRef/>
      </w:r>
      <w:r w:rsidRPr="00B65D5D">
        <w:rPr>
          <w:color w:val="808080" w:themeColor="background1" w:themeShade="80"/>
          <w:sz w:val="16"/>
          <w:szCs w:val="16"/>
        </w:rPr>
        <w:t xml:space="preserve"> 60/40 Portfolio consists of allocation is 2% cash; 51% Russell 3000 Index; 9%MSCI World Ex USA; 38% Bloomberg Aggregate Index. Performance is gross of all fees.</w:t>
      </w:r>
    </w:p>
  </w:footnote>
  <w:footnote w:id="3">
    <w:p w14:paraId="505A61F3" w14:textId="0697A4BF" w:rsidR="005D3039" w:rsidRPr="009B11D9" w:rsidRDefault="005D3039" w:rsidP="005D3039">
      <w:pPr>
        <w:pStyle w:val="FootnoteText"/>
        <w:rPr>
          <w:color w:val="7F7F7F" w:themeColor="text1" w:themeTint="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5"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8"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0"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4"/>
  </w:num>
  <w:num w:numId="2" w16cid:durableId="298078590">
    <w:abstractNumId w:val="24"/>
  </w:num>
  <w:num w:numId="3" w16cid:durableId="2122533199">
    <w:abstractNumId w:val="39"/>
  </w:num>
  <w:num w:numId="4" w16cid:durableId="846560734">
    <w:abstractNumId w:val="2"/>
  </w:num>
  <w:num w:numId="5" w16cid:durableId="3753219">
    <w:abstractNumId w:val="35"/>
  </w:num>
  <w:num w:numId="6" w16cid:durableId="1434134267">
    <w:abstractNumId w:val="37"/>
  </w:num>
  <w:num w:numId="7" w16cid:durableId="574702125">
    <w:abstractNumId w:val="46"/>
  </w:num>
  <w:num w:numId="8" w16cid:durableId="307637968">
    <w:abstractNumId w:val="29"/>
  </w:num>
  <w:num w:numId="9" w16cid:durableId="1698847105">
    <w:abstractNumId w:val="3"/>
  </w:num>
  <w:num w:numId="10" w16cid:durableId="1115097534">
    <w:abstractNumId w:val="13"/>
  </w:num>
  <w:num w:numId="11" w16cid:durableId="1693065977">
    <w:abstractNumId w:val="7"/>
  </w:num>
  <w:num w:numId="12" w16cid:durableId="899638018">
    <w:abstractNumId w:val="12"/>
  </w:num>
  <w:num w:numId="13" w16cid:durableId="825516068">
    <w:abstractNumId w:val="28"/>
  </w:num>
  <w:num w:numId="14" w16cid:durableId="1423262903">
    <w:abstractNumId w:val="47"/>
  </w:num>
  <w:num w:numId="15" w16cid:durableId="1502354591">
    <w:abstractNumId w:val="45"/>
  </w:num>
  <w:num w:numId="16" w16cid:durableId="593704893">
    <w:abstractNumId w:val="19"/>
  </w:num>
  <w:num w:numId="17" w16cid:durableId="265310388">
    <w:abstractNumId w:val="41"/>
  </w:num>
  <w:num w:numId="18" w16cid:durableId="1090199958">
    <w:abstractNumId w:val="22"/>
  </w:num>
  <w:num w:numId="19" w16cid:durableId="1861699692">
    <w:abstractNumId w:val="17"/>
  </w:num>
  <w:num w:numId="20" w16cid:durableId="1758863287">
    <w:abstractNumId w:val="6"/>
  </w:num>
  <w:num w:numId="21" w16cid:durableId="1207447191">
    <w:abstractNumId w:val="5"/>
  </w:num>
  <w:num w:numId="22" w16cid:durableId="1321077709">
    <w:abstractNumId w:val="32"/>
  </w:num>
  <w:num w:numId="23" w16cid:durableId="1519081393">
    <w:abstractNumId w:val="14"/>
  </w:num>
  <w:num w:numId="24" w16cid:durableId="1868173849">
    <w:abstractNumId w:val="15"/>
  </w:num>
  <w:num w:numId="25" w16cid:durableId="251621163">
    <w:abstractNumId w:val="8"/>
  </w:num>
  <w:num w:numId="26" w16cid:durableId="1213687620">
    <w:abstractNumId w:val="31"/>
  </w:num>
  <w:num w:numId="27" w16cid:durableId="1935475734">
    <w:abstractNumId w:val="11"/>
  </w:num>
  <w:num w:numId="28" w16cid:durableId="900017643">
    <w:abstractNumId w:val="0"/>
  </w:num>
  <w:num w:numId="29" w16cid:durableId="1727874495">
    <w:abstractNumId w:val="10"/>
  </w:num>
  <w:num w:numId="30" w16cid:durableId="603877683">
    <w:abstractNumId w:val="21"/>
  </w:num>
  <w:num w:numId="31" w16cid:durableId="1855069441">
    <w:abstractNumId w:val="43"/>
  </w:num>
  <w:num w:numId="32" w16cid:durableId="1512185552">
    <w:abstractNumId w:val="44"/>
  </w:num>
  <w:num w:numId="33" w16cid:durableId="469708696">
    <w:abstractNumId w:val="9"/>
  </w:num>
  <w:num w:numId="34" w16cid:durableId="1521823301">
    <w:abstractNumId w:val="26"/>
  </w:num>
  <w:num w:numId="35" w16cid:durableId="2128232698">
    <w:abstractNumId w:val="20"/>
  </w:num>
  <w:num w:numId="36" w16cid:durableId="2099324741">
    <w:abstractNumId w:val="36"/>
  </w:num>
  <w:num w:numId="37" w16cid:durableId="169681911">
    <w:abstractNumId w:val="40"/>
  </w:num>
  <w:num w:numId="38" w16cid:durableId="931362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2"/>
  </w:num>
  <w:num w:numId="40" w16cid:durableId="521287095">
    <w:abstractNumId w:val="27"/>
  </w:num>
  <w:num w:numId="41" w16cid:durableId="1693529323">
    <w:abstractNumId w:val="23"/>
  </w:num>
  <w:num w:numId="42" w16cid:durableId="1131443007">
    <w:abstractNumId w:val="1"/>
  </w:num>
  <w:num w:numId="43" w16cid:durableId="1668631653">
    <w:abstractNumId w:val="18"/>
  </w:num>
  <w:num w:numId="44" w16cid:durableId="1575508262">
    <w:abstractNumId w:val="30"/>
  </w:num>
  <w:num w:numId="45" w16cid:durableId="51271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6"/>
  </w:num>
  <w:num w:numId="48" w16cid:durableId="1210764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wFADYeXHM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B097C"/>
    <w:rsid w:val="000B1F1D"/>
    <w:rsid w:val="000B33F0"/>
    <w:rsid w:val="000B480D"/>
    <w:rsid w:val="000C2111"/>
    <w:rsid w:val="000C7EEE"/>
    <w:rsid w:val="000D0CAB"/>
    <w:rsid w:val="000D15E8"/>
    <w:rsid w:val="000E31FF"/>
    <w:rsid w:val="000E6D97"/>
    <w:rsid w:val="000E7185"/>
    <w:rsid w:val="000F368D"/>
    <w:rsid w:val="00100F10"/>
    <w:rsid w:val="00103C96"/>
    <w:rsid w:val="00104161"/>
    <w:rsid w:val="001177D9"/>
    <w:rsid w:val="00117FE0"/>
    <w:rsid w:val="001220F1"/>
    <w:rsid w:val="001239DF"/>
    <w:rsid w:val="00123D97"/>
    <w:rsid w:val="00126239"/>
    <w:rsid w:val="001265D3"/>
    <w:rsid w:val="0013194F"/>
    <w:rsid w:val="00132877"/>
    <w:rsid w:val="001358E4"/>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3473"/>
    <w:rsid w:val="00254906"/>
    <w:rsid w:val="0025490D"/>
    <w:rsid w:val="00257683"/>
    <w:rsid w:val="002605D2"/>
    <w:rsid w:val="00260AAA"/>
    <w:rsid w:val="0026723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32E8"/>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F1D20"/>
    <w:rsid w:val="005F3547"/>
    <w:rsid w:val="005F4495"/>
    <w:rsid w:val="005F50AB"/>
    <w:rsid w:val="005F5E0B"/>
    <w:rsid w:val="006017C4"/>
    <w:rsid w:val="006047E9"/>
    <w:rsid w:val="0060784E"/>
    <w:rsid w:val="006100D9"/>
    <w:rsid w:val="00611019"/>
    <w:rsid w:val="00611C61"/>
    <w:rsid w:val="00612B4F"/>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201F"/>
    <w:rsid w:val="006820BA"/>
    <w:rsid w:val="00683D46"/>
    <w:rsid w:val="006843F4"/>
    <w:rsid w:val="00685226"/>
    <w:rsid w:val="00686641"/>
    <w:rsid w:val="006867D7"/>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293F"/>
    <w:rsid w:val="007042D9"/>
    <w:rsid w:val="00706ABD"/>
    <w:rsid w:val="00707DCA"/>
    <w:rsid w:val="00711062"/>
    <w:rsid w:val="007134F0"/>
    <w:rsid w:val="00714F5F"/>
    <w:rsid w:val="007178A5"/>
    <w:rsid w:val="0072246A"/>
    <w:rsid w:val="00724507"/>
    <w:rsid w:val="007277EC"/>
    <w:rsid w:val="00730139"/>
    <w:rsid w:val="00732020"/>
    <w:rsid w:val="007320A6"/>
    <w:rsid w:val="00735345"/>
    <w:rsid w:val="007379F6"/>
    <w:rsid w:val="00741AFE"/>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3108"/>
    <w:rsid w:val="007A3F77"/>
    <w:rsid w:val="007A52F8"/>
    <w:rsid w:val="007A6DBD"/>
    <w:rsid w:val="007A7A65"/>
    <w:rsid w:val="007B4A6A"/>
    <w:rsid w:val="007B7DB3"/>
    <w:rsid w:val="007C15ED"/>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4960"/>
    <w:rsid w:val="008106EB"/>
    <w:rsid w:val="0081161F"/>
    <w:rsid w:val="00814E3F"/>
    <w:rsid w:val="00814EE9"/>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784B"/>
    <w:rsid w:val="00941B78"/>
    <w:rsid w:val="00941C56"/>
    <w:rsid w:val="009421C4"/>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345C"/>
    <w:rsid w:val="0097491B"/>
    <w:rsid w:val="00975302"/>
    <w:rsid w:val="009757BE"/>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54C7"/>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E4E7A"/>
    <w:rsid w:val="00AE556D"/>
    <w:rsid w:val="00AE65EF"/>
    <w:rsid w:val="00AF05BE"/>
    <w:rsid w:val="00AF07A4"/>
    <w:rsid w:val="00AF2860"/>
    <w:rsid w:val="00B005EE"/>
    <w:rsid w:val="00B009FB"/>
    <w:rsid w:val="00B010F5"/>
    <w:rsid w:val="00B0470F"/>
    <w:rsid w:val="00B0486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4E4A"/>
    <w:rsid w:val="00C2525D"/>
    <w:rsid w:val="00C25931"/>
    <w:rsid w:val="00C263BB"/>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5D"/>
    <w:rsid w:val="00D16DFE"/>
    <w:rsid w:val="00D177D1"/>
    <w:rsid w:val="00D20495"/>
    <w:rsid w:val="00D226A9"/>
    <w:rsid w:val="00D247A8"/>
    <w:rsid w:val="00D2545F"/>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3977"/>
    <w:rsid w:val="00E16D1E"/>
    <w:rsid w:val="00E17038"/>
    <w:rsid w:val="00E17B6F"/>
    <w:rsid w:val="00E217E6"/>
    <w:rsid w:val="00E21803"/>
    <w:rsid w:val="00E228E9"/>
    <w:rsid w:val="00E317DA"/>
    <w:rsid w:val="00E40938"/>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749C"/>
    <w:rsid w:val="00EE24FC"/>
    <w:rsid w:val="00EE69AF"/>
    <w:rsid w:val="00EF3696"/>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A28"/>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DD1"/>
    <w:rsid w:val="00FE7684"/>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uters.com/world/china/xi-china-will-never-renounce-right-use-force-over-taiwan-2022-10-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ehavioraleconomics.com/mini-encyclopedia-of-be/availability-heurist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nytimes.com/2022/05/27/opinion/biden-taiwan-defense-chin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F763A-1A26-4BE5-BFC1-746ACF2EEC37}">
  <ds:schemaRefs>
    <ds:schemaRef ds:uri="http://schemas.microsoft.com/sharepoint/v3/contenttype/forms"/>
  </ds:schemaRefs>
</ds:datastoreItem>
</file>

<file path=customXml/itemProps2.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3.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4.xml><?xml version="1.0" encoding="utf-8"?>
<ds:datastoreItem xmlns:ds="http://schemas.openxmlformats.org/officeDocument/2006/customXml" ds:itemID="{96BFA5BE-2420-4316-9144-B07CECE0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1199</Words>
  <Characters>6190</Characters>
  <Application>Microsoft Office Word</Application>
  <DocSecurity>0</DocSecurity>
  <Lines>154</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40</cp:revision>
  <cp:lastPrinted>2023-04-14T16:38:00Z</cp:lastPrinted>
  <dcterms:created xsi:type="dcterms:W3CDTF">2023-04-14T16:37:00Z</dcterms:created>
  <dcterms:modified xsi:type="dcterms:W3CDTF">2023-10-12T16:31:00Z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