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33428732"/>
    <w:bookmarkEnd w:id="0"/>
    <w:p w14:paraId="3AAF4777" w14:textId="4CF027D2" w:rsidR="00CE7DF2" w:rsidRPr="0017149B" w:rsidRDefault="00116740" w:rsidP="00BF0243">
      <w:pPr>
        <w:rPr>
          <w:rFonts w:eastAsia="Times New Roman" w:cstheme="minorHAnsi"/>
          <w:sz w:val="20"/>
          <w:szCs w:val="20"/>
        </w:rPr>
      </w:pPr>
      <w:r w:rsidRPr="0017149B">
        <w:rPr>
          <w:rFonts w:cstheme="minorHAnsi"/>
          <w:noProof/>
        </w:rPr>
        <mc:AlternateContent>
          <mc:Choice Requires="wps">
            <w:drawing>
              <wp:anchor distT="0" distB="0" distL="114300" distR="114300" simplePos="0" relativeHeight="251658241" behindDoc="0" locked="0" layoutInCell="1" allowOverlap="1" wp14:anchorId="498CF9BA" wp14:editId="10DB0A66">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2">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v:textbox>
              </v:shape>
            </w:pict>
          </mc:Fallback>
        </mc:AlternateContent>
      </w:r>
      <w:r w:rsidR="002640B5" w:rsidRPr="0017149B">
        <w:rPr>
          <w:rFonts w:eastAsia="Times New Roman" w:cstheme="minorHAnsi"/>
          <w:noProof/>
          <w:color w:val="58595B"/>
          <w:sz w:val="20"/>
          <w:szCs w:val="20"/>
        </w:rPr>
        <mc:AlternateContent>
          <mc:Choice Requires="wps">
            <w:drawing>
              <wp:anchor distT="0" distB="0" distL="114300" distR="114300" simplePos="0" relativeHeight="251658242" behindDoc="0" locked="0" layoutInCell="1" allowOverlap="1" wp14:anchorId="498CF9B8" wp14:editId="4E7D352E">
                <wp:simplePos x="0" y="0"/>
                <wp:positionH relativeFrom="column">
                  <wp:posOffset>4809309</wp:posOffset>
                </wp:positionH>
                <wp:positionV relativeFrom="paragraph">
                  <wp:posOffset>-520700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pt;margin-top:-41pt;width:244.8pt;height:20.65pt;z-index:25165824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DwnVAU4AAAAAwBAAAPAAAA&#10;ZHJzL2Rvd25yZXYueG1sTI/NTsMwEITvSLyDtUjcWocoIVUap0L8SBxpCxJHN97EUeN1FLtteHu2&#10;J7jt7oxmv6k2sxvEGafQe1LwsExAIDXe9NQp+Ny/LVYgQtRk9OAJFfxggE19e1Pp0vgLbfG8i53g&#10;EAqlVmBjHEspQ2PR6bD0IxJrrZ+cjrxOnTSTvnC4G2SaJI/S6Z74g9UjPltsjruTU/BF38N7mxmL&#10;Rf6RbcfXlzaPe6Xu7+anNYiIc/wzwxWf0aFmpoM/kQliUFDkRcZWBYtVyqWujjQreDrwKUsKkHUl&#10;/5eofwEAAP//AwBQSwECLQAUAAYACAAAACEAtoM4kv4AAADhAQAAEwAAAAAAAAAAAAAAAAAAAAAA&#10;W0NvbnRlbnRfVHlwZXNdLnhtbFBLAQItABQABgAIAAAAIQA4/SH/1gAAAJQBAAALAAAAAAAAAAAA&#10;AAAAAC8BAABfcmVscy8ucmVsc1BLAQItABQABgAIAAAAIQAvJpvy/AEAANQDAAAOAAAAAAAAAAAA&#10;AAAAAC4CAABkcnMvZTJvRG9jLnhtbFBLAQItABQABgAIAAAAIQDwnVAU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r w:rsidR="001C50E7" w:rsidRPr="0017149B">
        <w:rPr>
          <w:rFonts w:cstheme="minorHAnsi"/>
          <w:noProof/>
        </w:rPr>
        <mc:AlternateContent>
          <mc:Choice Requires="wpg">
            <w:drawing>
              <wp:anchor distT="0" distB="0" distL="114300" distR="114300" simplePos="0" relativeHeight="251658240" behindDoc="0" locked="0" layoutInCell="1" allowOverlap="1" wp14:anchorId="498CF9B6" wp14:editId="4D004D36">
                <wp:simplePos x="0" y="0"/>
                <wp:positionH relativeFrom="page">
                  <wp:posOffset>0</wp:posOffset>
                </wp:positionH>
                <wp:positionV relativeFrom="page">
                  <wp:posOffset>0</wp:posOffset>
                </wp:positionV>
                <wp:extent cx="7772400" cy="8242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61AB3D" id="Group 10" o:spid="_x0000_s1026" style="position:absolute;margin-left:0;margin-top:0;width:612pt;height:64.9pt;z-index:251658240;mso-position-horizontal-relative:page;mso-position-vertical-relative:page"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2oXZKdwAAAAGAQAADwAAAGRycy9kb3ducmV2LnhtbEyPzWrDMBCE&#10;74W+g9hCb41s94fEtRxCaHsKhSSFktvG2tgm1spYiu28feVe2suywyyz32TL0TSip87VlhXEswgE&#10;cWF1zaWCr/37wxyE88gaG8uk4EoOlvntTYaptgNvqd/5UoQQdikqqLxvUyldUZFBN7MtcfBOtjPo&#10;g+xKqTscQrhpZBJFL9JgzeFDhS2tKyrOu4tR8DHgsHqM3/rN+bS+HvbPn9+bmJS6vxtXryA8jf7v&#10;GCb8gA55YDraC2snGgWhiP+dk5ckT0Efp20xB5ln8j9+/gMAAP//AwBQSwECLQAUAAYACAAAACEA&#10;toM4kv4AAADhAQAAEwAAAAAAAAAAAAAAAAAAAAAAW0NvbnRlbnRfVHlwZXNdLnhtbFBLAQItABQA&#10;BgAIAAAAIQA4/SH/1gAAAJQBAAALAAAAAAAAAAAAAAAAAC8BAABfcmVscy8ucmVsc1BLAQItABQA&#10;BgAIAAAAIQCY9ri6WAQAANcPAAAOAAAAAAAAAAAAAAAAAC4CAABkcnMvZTJvRG9jLnhtbFBLAQIt&#10;ABQABgAIAAAAIQDahdkp3AAAAAYBAAAPAAAAAAAAAAAAAAAAALIGAABkcnMvZG93bnJldi54bWxQ&#10;SwUGAAAAAAQABADzAAAAuw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page" anchory="page"/>
              </v:group>
            </w:pict>
          </mc:Fallback>
        </mc:AlternateContent>
      </w:r>
    </w:p>
    <w:p w14:paraId="73DA7D01" w14:textId="77777777" w:rsidR="00CE7DF2" w:rsidRPr="0017149B" w:rsidRDefault="00CE7DF2" w:rsidP="00BF0243">
      <w:pPr>
        <w:shd w:val="clear" w:color="auto" w:fill="FFFFFF"/>
        <w:rPr>
          <w:rFonts w:eastAsia="Times New Roman" w:cstheme="minorHAnsi"/>
          <w:b/>
          <w:bCs/>
          <w:color w:val="000000"/>
          <w:sz w:val="32"/>
          <w:szCs w:val="32"/>
        </w:rPr>
      </w:pPr>
    </w:p>
    <w:p w14:paraId="498CF986" w14:textId="04D80B6B" w:rsidR="00310271" w:rsidRPr="0017149B" w:rsidRDefault="003320FC" w:rsidP="00BF0243">
      <w:pPr>
        <w:ind w:left="720"/>
        <w:rPr>
          <w:rFonts w:eastAsia="Proxima Nova Light" w:cstheme="minorHAnsi"/>
          <w:color w:val="005EA4"/>
          <w:sz w:val="44"/>
          <w:szCs w:val="44"/>
        </w:rPr>
      </w:pPr>
      <w:r>
        <w:rPr>
          <w:rFonts w:eastAsia="Times New Roman" w:cstheme="minorHAnsi"/>
          <w:b/>
          <w:bCs/>
          <w:color w:val="005EA4"/>
          <w:sz w:val="44"/>
          <w:szCs w:val="44"/>
        </w:rPr>
        <w:t xml:space="preserve">December </w:t>
      </w:r>
      <w:r w:rsidR="00DC63C0" w:rsidRPr="0017149B">
        <w:rPr>
          <w:rFonts w:eastAsia="Times New Roman" w:cstheme="minorHAnsi"/>
          <w:b/>
          <w:bCs/>
          <w:color w:val="005EA4"/>
          <w:sz w:val="44"/>
          <w:szCs w:val="44"/>
        </w:rPr>
        <w:t>2023</w:t>
      </w:r>
      <w:r w:rsidR="00CE7DF2" w:rsidRPr="0017149B">
        <w:rPr>
          <w:rFonts w:eastAsia="Times New Roman" w:cstheme="minorHAnsi"/>
          <w:b/>
          <w:bCs/>
          <w:color w:val="005EA4"/>
          <w:sz w:val="44"/>
          <w:szCs w:val="44"/>
        </w:rPr>
        <w:t xml:space="preserve"> Market </w:t>
      </w:r>
      <w:r w:rsidR="00834733" w:rsidRPr="0017149B">
        <w:rPr>
          <w:rFonts w:eastAsia="Times New Roman" w:cstheme="minorHAnsi"/>
          <w:b/>
          <w:bCs/>
          <w:color w:val="005EA4"/>
          <w:sz w:val="44"/>
          <w:szCs w:val="44"/>
        </w:rPr>
        <w:t>Recap</w:t>
      </w:r>
      <w:r w:rsidR="00CE7DF2" w:rsidRPr="0017149B">
        <w:rPr>
          <w:rFonts w:eastAsia="Times New Roman" w:cstheme="minorHAnsi"/>
          <w:b/>
          <w:bCs/>
          <w:color w:val="005EA4"/>
          <w:sz w:val="44"/>
          <w:szCs w:val="44"/>
        </w:rPr>
        <w:t xml:space="preserve"> </w:t>
      </w:r>
    </w:p>
    <w:p w14:paraId="498CF98A" w14:textId="77777777" w:rsidR="00FD5531" w:rsidRPr="0017149B" w:rsidRDefault="001C50E7" w:rsidP="00BF0243">
      <w:pPr>
        <w:pStyle w:val="BodyText"/>
        <w:ind w:left="0" w:right="730"/>
        <w:rPr>
          <w:rFonts w:asciiTheme="minorHAnsi" w:hAnsiTheme="minorHAnsi" w:cstheme="minorHAnsi"/>
          <w:color w:val="0070C0"/>
          <w:sz w:val="32"/>
        </w:rPr>
        <w:sectPr w:rsidR="00FD5531" w:rsidRPr="0017149B">
          <w:headerReference w:type="even" r:id="rId13"/>
          <w:headerReference w:type="default" r:id="rId14"/>
          <w:footerReference w:type="even" r:id="rId15"/>
          <w:footerReference w:type="default" r:id="rId16"/>
          <w:headerReference w:type="first" r:id="rId17"/>
          <w:footerReference w:type="first" r:id="rId18"/>
          <w:type w:val="continuous"/>
          <w:pgSz w:w="12240" w:h="15840"/>
          <w:pgMar w:top="0" w:right="0" w:bottom="0" w:left="0" w:header="720" w:footer="720" w:gutter="0"/>
          <w:cols w:space="720"/>
        </w:sectPr>
      </w:pPr>
      <w:r w:rsidRPr="0017149B">
        <w:rPr>
          <w:rFonts w:asciiTheme="minorHAnsi" w:eastAsia="Proxima Nova Light" w:hAnsiTheme="minorHAnsi" w:cstheme="minorHAnsi"/>
          <w:noProof/>
          <w:sz w:val="11"/>
          <w:szCs w:val="11"/>
        </w:rPr>
        <mc:AlternateContent>
          <mc:Choice Requires="wpg">
            <w:drawing>
              <wp:anchor distT="0" distB="0" distL="114300" distR="114300" simplePos="0" relativeHeight="251658243"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82388F" id="Group 17" o:spid="_x0000_s1026" style="position:absolute;margin-left:0;margin-top:16.1pt;width:612pt;height:5.8pt;z-index:251658243"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498CF98C" w14:textId="77777777" w:rsidR="00723E52" w:rsidRPr="0017149B" w:rsidRDefault="00723E52" w:rsidP="00513DD7">
      <w:pPr>
        <w:ind w:left="-630"/>
        <w:rPr>
          <w:rFonts w:cstheme="minorHAnsi"/>
          <w:sz w:val="21"/>
          <w:szCs w:val="21"/>
        </w:rPr>
      </w:pPr>
    </w:p>
    <w:p w14:paraId="6D06A026" w14:textId="6DE9D071" w:rsidR="00965D77" w:rsidRPr="0017149B" w:rsidRDefault="00965D77" w:rsidP="00FC7BD6">
      <w:pPr>
        <w:rPr>
          <w:rFonts w:cstheme="minorHAnsi"/>
          <w:sz w:val="21"/>
          <w:szCs w:val="21"/>
        </w:rPr>
      </w:pPr>
    </w:p>
    <w:p w14:paraId="105D0E8A" w14:textId="77777777" w:rsidR="00750961" w:rsidRPr="00DC493E" w:rsidRDefault="00750961" w:rsidP="00750961">
      <w:pPr>
        <w:ind w:right="360"/>
        <w:rPr>
          <w:rFonts w:eastAsia="Avenir" w:cstheme="minorHAnsi"/>
          <w:color w:val="58595B"/>
        </w:rPr>
      </w:pPr>
      <w:r w:rsidRPr="00DC493E">
        <w:rPr>
          <w:rFonts w:eastAsia="Avenir" w:cstheme="minorHAnsi"/>
          <w:color w:val="58595B"/>
        </w:rPr>
        <w:t>The markets finished the year on a high note, driven by encouraging economic numbers and the conclusion of the Federal Reserve’s (Fed) rate-hiking campaign. The NASDAQ Composite Index (COMP) recorded its best year since 2020, the Dow Jones Industrial Average® (DJIA) set a new high, and S&amp;P 500® (SPX) – while short of a record – rose for nine straight weeks to end the year. The yield on the benchmark 10-year Treasury Note is now well off its October highs, providing relief for borrowers, hope for a stagnant housing sector, and indicating that investors are warming up to stocks. The latest reports on growth and inflation also continue to point to more good news in 2024.</w:t>
      </w:r>
    </w:p>
    <w:p w14:paraId="5D038937" w14:textId="77777777" w:rsidR="00750961" w:rsidRPr="00DC493E" w:rsidRDefault="00750961" w:rsidP="00750961">
      <w:pPr>
        <w:pStyle w:val="Heading2"/>
        <w:ind w:right="360"/>
        <w:rPr>
          <w:rFonts w:asciiTheme="minorHAnsi" w:eastAsia="Avenir" w:hAnsiTheme="minorHAnsi" w:cstheme="minorHAnsi"/>
          <w:b w:val="0"/>
          <w:color w:val="005EA4"/>
        </w:rPr>
      </w:pPr>
      <w:r w:rsidRPr="00DC493E">
        <w:rPr>
          <w:rFonts w:asciiTheme="minorHAnsi" w:eastAsia="Avenir" w:hAnsiTheme="minorHAnsi" w:cstheme="minorHAnsi"/>
          <w:color w:val="005EA4"/>
        </w:rPr>
        <w:t>Markets Finish 2023 with a Bang</w:t>
      </w:r>
    </w:p>
    <w:p w14:paraId="6BB3EEF3" w14:textId="77777777" w:rsidR="00750961" w:rsidRPr="00DC493E" w:rsidRDefault="00750961" w:rsidP="00750961">
      <w:pPr>
        <w:ind w:right="360"/>
        <w:rPr>
          <w:rFonts w:eastAsia="Avenir" w:cstheme="minorHAnsi"/>
          <w:color w:val="58595B"/>
        </w:rPr>
      </w:pPr>
      <w:r w:rsidRPr="00DC493E">
        <w:rPr>
          <w:rFonts w:eastAsia="Avenir" w:cstheme="minorHAnsi"/>
          <w:color w:val="58595B"/>
        </w:rPr>
        <w:t>For the second month in a row, the markets posted impressive gains to close out 2023 with a bang. The tech-heavy Nasdaq led the way, gaining 5.5% in December after surging 10.7% in November. For 2023, the index gained 43.4% – its best year since 2020. The broad market S&amp;P 500 gained 4.4% for the month after climbing 8.9% the prior month. For the year, the SPX gained 24.2%. Meanwhile, the Dow Jones went up 4.8% in December after rising 8.8% in November. In 2023, the popular index gained 13.7%.</w:t>
      </w:r>
    </w:p>
    <w:p w14:paraId="38DA3A63" w14:textId="77777777" w:rsidR="00750961" w:rsidRPr="00DC493E" w:rsidRDefault="00750961" w:rsidP="00750961">
      <w:pPr>
        <w:ind w:right="360"/>
        <w:rPr>
          <w:rFonts w:eastAsia="Avenir" w:cstheme="minorHAnsi"/>
          <w:color w:val="58595B"/>
        </w:rPr>
      </w:pPr>
    </w:p>
    <w:p w14:paraId="70E2D6A9" w14:textId="77777777" w:rsidR="00750961" w:rsidRPr="00DC493E" w:rsidRDefault="00750961" w:rsidP="00750961">
      <w:pPr>
        <w:ind w:right="360"/>
        <w:rPr>
          <w:rFonts w:eastAsia="Avenir" w:cstheme="minorHAnsi"/>
          <w:color w:val="58595B"/>
        </w:rPr>
      </w:pPr>
      <w:r w:rsidRPr="00DC493E">
        <w:rPr>
          <w:rFonts w:eastAsia="Avenir" w:cstheme="minorHAnsi"/>
          <w:color w:val="58595B"/>
        </w:rPr>
        <w:t>Likely behind the strong finish to 2023 was the Fed signaling that it's done raising rates and could even begin cutting rates in 2024. Stronger-than-expected inflation, jobs, and growth numbers also encouraged investors. Investors' willingness to buy riskier investments like stocks is reflected in the declining yield on the benchmark 10-year Treasury note, which now sits at less than 3.9% after reaching a high of 5% in October. The decline in the 10-year Treasury also translates to lower financing costs, including mortgage rates and consumer loans.</w:t>
      </w:r>
    </w:p>
    <w:p w14:paraId="13195325" w14:textId="77777777" w:rsidR="00750961" w:rsidRPr="00DC493E" w:rsidRDefault="00750961" w:rsidP="00750961">
      <w:pPr>
        <w:ind w:right="360"/>
        <w:rPr>
          <w:rFonts w:eastAsia="Avenir" w:cstheme="minorHAnsi"/>
        </w:rPr>
      </w:pPr>
    </w:p>
    <w:p w14:paraId="4952114C" w14:textId="77777777" w:rsidR="00750961" w:rsidRPr="00DC493E" w:rsidRDefault="00750961" w:rsidP="00750961">
      <w:pPr>
        <w:ind w:right="360"/>
        <w:jc w:val="center"/>
        <w:rPr>
          <w:rFonts w:eastAsia="Avenir" w:cstheme="minorHAnsi"/>
        </w:rPr>
      </w:pPr>
      <w:r w:rsidRPr="00DC493E">
        <w:rPr>
          <w:rFonts w:eastAsia="Avenir" w:cstheme="minorHAnsi"/>
          <w:noProof/>
        </w:rPr>
        <w:drawing>
          <wp:inline distT="114300" distB="114300" distL="114300" distR="114300" wp14:anchorId="289ECFFA" wp14:editId="6F9D8202">
            <wp:extent cx="4452938" cy="2580886"/>
            <wp:effectExtent l="0" t="0" r="0" b="0"/>
            <wp:docPr id="1974331214" name="image1.png" descr="A graph with lines and numbers&#10;&#10;Description automatically generated"/>
            <wp:cNvGraphicFramePr/>
            <a:graphic xmlns:a="http://schemas.openxmlformats.org/drawingml/2006/main">
              <a:graphicData uri="http://schemas.openxmlformats.org/drawingml/2006/picture">
                <pic:pic xmlns:pic="http://schemas.openxmlformats.org/drawingml/2006/picture">
                  <pic:nvPicPr>
                    <pic:cNvPr id="1974331214" name="image1.png" descr="A graph with lines and numbers&#10;&#10;Description automatically generated"/>
                    <pic:cNvPicPr preferRelativeResize="0"/>
                  </pic:nvPicPr>
                  <pic:blipFill>
                    <a:blip r:embed="rId19"/>
                    <a:srcRect/>
                    <a:stretch>
                      <a:fillRect/>
                    </a:stretch>
                  </pic:blipFill>
                  <pic:spPr>
                    <a:xfrm>
                      <a:off x="0" y="0"/>
                      <a:ext cx="4452938" cy="2580886"/>
                    </a:xfrm>
                    <a:prstGeom prst="rect">
                      <a:avLst/>
                    </a:prstGeom>
                    <a:ln/>
                  </pic:spPr>
                </pic:pic>
              </a:graphicData>
            </a:graphic>
          </wp:inline>
        </w:drawing>
      </w:r>
    </w:p>
    <w:p w14:paraId="21B4257E" w14:textId="090EA01C" w:rsidR="00750961" w:rsidRPr="00DC493E" w:rsidRDefault="00750961" w:rsidP="00750961">
      <w:pPr>
        <w:ind w:right="360"/>
        <w:jc w:val="center"/>
        <w:rPr>
          <w:rFonts w:eastAsia="Avenir" w:cstheme="minorHAnsi"/>
          <w:color w:val="1155CC"/>
          <w:u w:val="single"/>
        </w:rPr>
      </w:pPr>
      <w:r w:rsidRPr="00DC493E">
        <w:rPr>
          <w:rFonts w:eastAsia="Avenir" w:cstheme="minorHAnsi"/>
        </w:rPr>
        <w:t xml:space="preserve">Source: </w:t>
      </w:r>
      <w:hyperlink r:id="rId20">
        <w:r w:rsidRPr="00DC493E">
          <w:rPr>
            <w:rFonts w:eastAsia="Avenir" w:cstheme="minorHAnsi"/>
            <w:color w:val="1155CC"/>
            <w:u w:val="single"/>
          </w:rPr>
          <w:t>Wall Street Journal</w:t>
        </w:r>
      </w:hyperlink>
    </w:p>
    <w:p w14:paraId="459AC99E" w14:textId="77777777" w:rsidR="00750961" w:rsidRPr="00DC493E" w:rsidRDefault="00750961" w:rsidP="00750961">
      <w:pPr>
        <w:ind w:right="360"/>
        <w:jc w:val="center"/>
        <w:rPr>
          <w:rFonts w:eastAsia="Avenir" w:cstheme="minorHAnsi"/>
          <w:color w:val="1155CC"/>
          <w:u w:val="single"/>
        </w:rPr>
      </w:pPr>
    </w:p>
    <w:p w14:paraId="63528B4F" w14:textId="77777777" w:rsidR="00750961" w:rsidRPr="00DC493E" w:rsidRDefault="00750961" w:rsidP="00750961">
      <w:pPr>
        <w:pStyle w:val="Heading2"/>
        <w:ind w:right="360"/>
        <w:rPr>
          <w:rFonts w:asciiTheme="minorHAnsi" w:eastAsia="Avenir" w:hAnsiTheme="minorHAnsi" w:cstheme="minorHAnsi"/>
          <w:b w:val="0"/>
          <w:color w:val="005EA4"/>
        </w:rPr>
      </w:pPr>
      <w:r w:rsidRPr="00DC493E">
        <w:rPr>
          <w:rFonts w:asciiTheme="minorHAnsi" w:eastAsia="Avenir" w:hAnsiTheme="minorHAnsi" w:cstheme="minorHAnsi"/>
          <w:color w:val="005EA4"/>
        </w:rPr>
        <w:t>US Economic Growth Remains Strong</w:t>
      </w:r>
    </w:p>
    <w:p w14:paraId="70B744D1" w14:textId="77777777" w:rsidR="00750961" w:rsidRPr="00DC493E" w:rsidRDefault="00750961" w:rsidP="00750961">
      <w:pPr>
        <w:ind w:right="360"/>
        <w:rPr>
          <w:rFonts w:eastAsia="Avenir" w:cstheme="minorHAnsi"/>
        </w:rPr>
      </w:pPr>
      <w:r w:rsidRPr="00DC493E">
        <w:rPr>
          <w:rFonts w:eastAsia="Avenir" w:cstheme="minorHAnsi"/>
          <w:color w:val="58595B"/>
        </w:rPr>
        <w:t xml:space="preserve">According to the latest numbers from the US Bureau of Economic Analysis, US economic output grew at an annualized rate of 4.9% during the third quarter from July through September. The final estimate of third-quarter growth was down slightly from the 5.2% previously projected but still revealed a robust and resilient economy. Growth in the third quarter was the strongest in almost two years and reflected increases in private inventory </w:t>
      </w:r>
      <w:r w:rsidRPr="00DC493E">
        <w:rPr>
          <w:rFonts w:eastAsia="Avenir" w:cstheme="minorHAnsi"/>
          <w:color w:val="58595B"/>
        </w:rPr>
        <w:lastRenderedPageBreak/>
        <w:t>investment, exports, government spending, and residential and nonresidential fixed investment. Consumer spending – which accounts for about two-thirds of all economic activity in the US – edged down slightly to 3.1% from 3.6% but remains on a positive trajectory.</w:t>
      </w:r>
      <w:r w:rsidRPr="00DC493E">
        <w:rPr>
          <w:rFonts w:eastAsia="Avenir" w:cstheme="minorHAnsi"/>
        </w:rPr>
        <w:t xml:space="preserve"> </w:t>
      </w:r>
      <w:hyperlink r:id="rId21">
        <w:r w:rsidRPr="00DC493E">
          <w:rPr>
            <w:rFonts w:eastAsia="Avenir" w:cstheme="minorHAnsi"/>
            <w:color w:val="0000FF"/>
            <w:u w:val="single"/>
          </w:rPr>
          <w:t>CNN</w:t>
        </w:r>
      </w:hyperlink>
    </w:p>
    <w:p w14:paraId="41D7EE14" w14:textId="77777777" w:rsidR="00750961" w:rsidRPr="00DC493E" w:rsidRDefault="00750961" w:rsidP="00750961">
      <w:pPr>
        <w:pStyle w:val="Heading2"/>
        <w:ind w:right="360"/>
        <w:rPr>
          <w:rFonts w:asciiTheme="minorHAnsi" w:eastAsia="Avenir" w:hAnsiTheme="minorHAnsi" w:cstheme="minorHAnsi"/>
          <w:b w:val="0"/>
          <w:color w:val="005EA4"/>
        </w:rPr>
      </w:pPr>
      <w:r w:rsidRPr="00DC493E">
        <w:rPr>
          <w:rFonts w:asciiTheme="minorHAnsi" w:eastAsia="Avenir" w:hAnsiTheme="minorHAnsi" w:cstheme="minorHAnsi"/>
          <w:color w:val="005EA4"/>
        </w:rPr>
        <w:t>Fed Keeps Rates Steady, Signals Cuts in 2024</w:t>
      </w:r>
    </w:p>
    <w:p w14:paraId="13D53B54" w14:textId="77777777" w:rsidR="00750961" w:rsidRPr="00DC493E" w:rsidRDefault="00750961" w:rsidP="00750961">
      <w:pPr>
        <w:ind w:right="360"/>
        <w:rPr>
          <w:rFonts w:eastAsia="Avenir" w:cstheme="minorHAnsi"/>
          <w:color w:val="58595B"/>
        </w:rPr>
      </w:pPr>
      <w:r w:rsidRPr="00DC493E">
        <w:rPr>
          <w:rFonts w:eastAsia="Avenir" w:cstheme="minorHAnsi"/>
          <w:color w:val="58595B"/>
        </w:rPr>
        <w:t xml:space="preserve">During its December meeting, the Fed held interest rates steady for the third straight time, keeping the benchmark federal funds rate in the 5.25%-5.5% range. This move (or lack thereof) was widely anticipated and brought an end to one of the most aggressive rate-hiking cycles in US history. The central bank raised rates 11 times since March 2022. </w:t>
      </w:r>
    </w:p>
    <w:p w14:paraId="494E9AF1" w14:textId="77777777" w:rsidR="00750961" w:rsidRPr="00DC493E" w:rsidRDefault="00750961" w:rsidP="00750961">
      <w:pPr>
        <w:ind w:right="360"/>
        <w:rPr>
          <w:rFonts w:eastAsia="Avenir" w:cstheme="minorHAnsi"/>
          <w:color w:val="58595B"/>
        </w:rPr>
      </w:pPr>
    </w:p>
    <w:p w14:paraId="7651B29F" w14:textId="77777777" w:rsidR="00750961" w:rsidRPr="00DC493E" w:rsidRDefault="00750961" w:rsidP="00750961">
      <w:pPr>
        <w:ind w:right="360"/>
        <w:rPr>
          <w:rFonts w:eastAsia="Avenir" w:cstheme="minorHAnsi"/>
        </w:rPr>
      </w:pPr>
      <w:r w:rsidRPr="00DC493E">
        <w:rPr>
          <w:rFonts w:eastAsia="Avenir" w:cstheme="minorHAnsi"/>
          <w:color w:val="58595B"/>
        </w:rPr>
        <w:t xml:space="preserve">The Fed signaled that interest rate cuts may be on the horizon in 2024. The markets appeared to </w:t>
      </w:r>
      <w:proofErr w:type="gramStart"/>
      <w:r w:rsidRPr="00DC493E">
        <w:rPr>
          <w:rFonts w:eastAsia="Avenir" w:cstheme="minorHAnsi"/>
          <w:color w:val="58595B"/>
        </w:rPr>
        <w:t>price in</w:t>
      </w:r>
      <w:proofErr w:type="gramEnd"/>
      <w:r w:rsidRPr="00DC493E">
        <w:rPr>
          <w:rFonts w:eastAsia="Avenir" w:cstheme="minorHAnsi"/>
          <w:color w:val="58595B"/>
        </w:rPr>
        <w:t xml:space="preserve"> an aggressive series of cuts totaling 1.5% next year, higher than what the central bank has suggested. According to Fed Chairman Powell, "Inflation has eased from its highs, and this has come without a significant increase in unemployment. That’s very good news." The Fed now sees core inflation falling to 3.2% in 2023, 2.4% in 2024, and 2.2% in 2025. In 2026, the Fed anticipates inflation will hit its target rate of 2%.</w:t>
      </w:r>
      <w:r w:rsidRPr="00DC493E">
        <w:rPr>
          <w:rFonts w:eastAsia="Avenir" w:cstheme="minorHAnsi"/>
        </w:rPr>
        <w:t xml:space="preserve"> </w:t>
      </w:r>
      <w:hyperlink r:id="rId22">
        <w:r w:rsidRPr="00DC493E">
          <w:rPr>
            <w:rFonts w:eastAsia="Avenir" w:cstheme="minorHAnsi"/>
            <w:color w:val="0000FF"/>
            <w:u w:val="single"/>
          </w:rPr>
          <w:t>CNBC</w:t>
        </w:r>
      </w:hyperlink>
    </w:p>
    <w:p w14:paraId="373E64F0" w14:textId="77777777" w:rsidR="00750961" w:rsidRPr="00DC493E" w:rsidRDefault="00750961" w:rsidP="00750961">
      <w:pPr>
        <w:pStyle w:val="Heading2"/>
        <w:ind w:right="360"/>
        <w:rPr>
          <w:rFonts w:asciiTheme="minorHAnsi" w:eastAsia="Avenir" w:hAnsiTheme="minorHAnsi" w:cstheme="minorHAnsi"/>
          <w:b w:val="0"/>
          <w:color w:val="005EA4"/>
        </w:rPr>
      </w:pPr>
      <w:r w:rsidRPr="00DC493E">
        <w:rPr>
          <w:rFonts w:asciiTheme="minorHAnsi" w:eastAsia="Avenir" w:hAnsiTheme="minorHAnsi" w:cstheme="minorHAnsi"/>
          <w:color w:val="005EA4"/>
        </w:rPr>
        <w:t>Inflation Continues to Ease</w:t>
      </w:r>
    </w:p>
    <w:p w14:paraId="6FB329AB" w14:textId="77777777" w:rsidR="00750961" w:rsidRPr="00DC493E" w:rsidRDefault="00750961" w:rsidP="00750961">
      <w:pPr>
        <w:spacing w:after="160" w:line="259" w:lineRule="auto"/>
        <w:ind w:right="360"/>
        <w:rPr>
          <w:rFonts w:eastAsia="Avenir" w:cstheme="minorHAnsi"/>
          <w:color w:val="58595B"/>
        </w:rPr>
      </w:pPr>
      <w:r w:rsidRPr="00DC493E">
        <w:rPr>
          <w:rFonts w:eastAsia="Avenir" w:cstheme="minorHAnsi"/>
          <w:color w:val="58595B"/>
        </w:rPr>
        <w:t xml:space="preserve">Speaking of inflation, the latest report shows continuing price easing. According to the US Bureau of Labor Statistics, consumer prices rose 0.1% in November after no change in October. Compared to a year ago, prices were up 3.1%. The latest report shows a continuing downward trend in price inflation that began last summer when inflation hit a 9% peak. Core inflation – which strips out the more volatile components of food and energy – was up 4% in November compared to a year ago and was unchanged from the reading in October. </w:t>
      </w:r>
    </w:p>
    <w:p w14:paraId="47528732" w14:textId="77777777" w:rsidR="00750961" w:rsidRPr="00DC493E" w:rsidRDefault="00750961" w:rsidP="00750961">
      <w:pPr>
        <w:spacing w:after="160" w:line="259" w:lineRule="auto"/>
        <w:ind w:right="360"/>
        <w:rPr>
          <w:rFonts w:eastAsia="Avenir" w:cstheme="minorHAnsi"/>
        </w:rPr>
      </w:pPr>
      <w:r w:rsidRPr="00DC493E">
        <w:rPr>
          <w:rFonts w:eastAsia="Avenir" w:cstheme="minorHAnsi"/>
          <w:color w:val="58595B"/>
        </w:rPr>
        <w:t>The price moderation in November was partly due to a decline in gas prices, which have dropped about 6% in the past month. While some grocery items like beef and cereal continue to rise, other grocery staples like eggs have fallen significantly. In addition, declining inflation hasn't torpedoed economic growth and jobs, which both remain strong. Consumer spending has also remained resilient, with consumers spending a record $9.8 billion online on Black Friday, 7.5% more than last year.</w:t>
      </w:r>
      <w:r w:rsidRPr="00DC493E">
        <w:rPr>
          <w:rFonts w:eastAsia="Avenir" w:cstheme="minorHAnsi"/>
        </w:rPr>
        <w:t xml:space="preserve"> </w:t>
      </w:r>
      <w:hyperlink r:id="rId23">
        <w:r w:rsidRPr="00DC493E">
          <w:rPr>
            <w:rFonts w:eastAsia="Avenir" w:cstheme="minorHAnsi"/>
            <w:color w:val="0000FF"/>
            <w:u w:val="single"/>
          </w:rPr>
          <w:t>ABC</w:t>
        </w:r>
      </w:hyperlink>
    </w:p>
    <w:p w14:paraId="44196F97" w14:textId="77777777" w:rsidR="00750961" w:rsidRPr="00DC493E" w:rsidRDefault="00750961" w:rsidP="00750961">
      <w:pPr>
        <w:spacing w:after="160" w:line="259" w:lineRule="auto"/>
        <w:ind w:right="360"/>
        <w:rPr>
          <w:rFonts w:eastAsia="Avenir" w:cstheme="minorHAnsi"/>
        </w:rPr>
      </w:pPr>
    </w:p>
    <w:p w14:paraId="1EDAD950" w14:textId="77777777" w:rsidR="00750961" w:rsidRPr="003B7896" w:rsidRDefault="00750961" w:rsidP="00750961">
      <w:pPr>
        <w:ind w:right="360"/>
        <w:rPr>
          <w:rFonts w:eastAsia="Avenir" w:cstheme="minorHAnsi"/>
          <w:b/>
          <w:color w:val="58595B"/>
          <w:sz w:val="16"/>
          <w:szCs w:val="16"/>
        </w:rPr>
      </w:pPr>
      <w:r w:rsidRPr="003B7896">
        <w:rPr>
          <w:rFonts w:eastAsia="Avenir" w:cstheme="minorHAnsi"/>
          <w:color w:val="58595B"/>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meeting the particular investment needs of any investor. </w:t>
      </w:r>
      <w:r w:rsidRPr="003B7896">
        <w:rPr>
          <w:rFonts w:eastAsia="Avenir" w:cstheme="minorHAnsi"/>
          <w:b/>
          <w:color w:val="58595B"/>
          <w:sz w:val="16"/>
          <w:szCs w:val="16"/>
        </w:rPr>
        <w:t>Past performance does not guarantee future results.</w:t>
      </w:r>
    </w:p>
    <w:p w14:paraId="4CCF834A" w14:textId="77777777" w:rsidR="00750961" w:rsidRPr="003B7896" w:rsidRDefault="00750961" w:rsidP="00750961">
      <w:pPr>
        <w:ind w:right="360"/>
        <w:rPr>
          <w:rFonts w:eastAsia="Avenir" w:cstheme="minorHAnsi"/>
          <w:b/>
          <w:color w:val="58595B"/>
          <w:sz w:val="16"/>
          <w:szCs w:val="16"/>
        </w:rPr>
      </w:pPr>
    </w:p>
    <w:p w14:paraId="4FEC94AF" w14:textId="77777777" w:rsidR="00750961" w:rsidRPr="003B7896" w:rsidRDefault="00750961" w:rsidP="00750961">
      <w:pPr>
        <w:ind w:right="360"/>
        <w:rPr>
          <w:rFonts w:eastAsia="Avenir" w:cstheme="minorHAnsi"/>
          <w:color w:val="58595B"/>
          <w:sz w:val="16"/>
          <w:szCs w:val="16"/>
        </w:rPr>
      </w:pPr>
      <w:r w:rsidRPr="003B7896">
        <w:rPr>
          <w:rFonts w:eastAsia="Avenir" w:cstheme="minorHAnsi"/>
          <w:color w:val="58595B"/>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4210DF81" w14:textId="77777777" w:rsidR="00750961" w:rsidRPr="003B7896" w:rsidRDefault="00750961" w:rsidP="00750961">
      <w:pPr>
        <w:ind w:right="360"/>
        <w:rPr>
          <w:rFonts w:eastAsia="Avenir" w:cstheme="minorHAnsi"/>
          <w:color w:val="58595B"/>
          <w:sz w:val="16"/>
          <w:szCs w:val="16"/>
        </w:rPr>
      </w:pPr>
    </w:p>
    <w:p w14:paraId="1C5B4137" w14:textId="77777777" w:rsidR="00750961" w:rsidRPr="003B7896" w:rsidRDefault="00750961" w:rsidP="00750961">
      <w:pPr>
        <w:ind w:right="360"/>
        <w:rPr>
          <w:rFonts w:eastAsia="Avenir" w:cstheme="minorHAnsi"/>
          <w:color w:val="58595B"/>
          <w:sz w:val="16"/>
          <w:szCs w:val="16"/>
        </w:rPr>
      </w:pPr>
      <w:r w:rsidRPr="003B7896">
        <w:rPr>
          <w:rFonts w:eastAsia="Avenir" w:cstheme="minorHAnsi"/>
          <w:color w:val="58595B"/>
          <w:sz w:val="16"/>
          <w:szCs w:val="16"/>
        </w:rPr>
        <w:t>The Standard &amp; Poor's 500 (S&amp;P 500) is an unmanaged group of securities considered to be representative of the stock market in general.  It is a market value weighted index with each stock's weight in the index proportionate to its market value.</w:t>
      </w:r>
    </w:p>
    <w:p w14:paraId="73E19D4A" w14:textId="77777777" w:rsidR="00750961" w:rsidRPr="003B7896" w:rsidRDefault="00750961" w:rsidP="00750961">
      <w:pPr>
        <w:ind w:right="360"/>
        <w:rPr>
          <w:rFonts w:eastAsia="Avenir" w:cstheme="minorHAnsi"/>
          <w:color w:val="58595B"/>
          <w:sz w:val="16"/>
          <w:szCs w:val="16"/>
        </w:rPr>
      </w:pPr>
    </w:p>
    <w:p w14:paraId="315C1692" w14:textId="77777777" w:rsidR="00750961" w:rsidRPr="003B7896" w:rsidRDefault="00750961" w:rsidP="00750961">
      <w:pPr>
        <w:ind w:right="360"/>
        <w:rPr>
          <w:rFonts w:eastAsia="Avenir" w:cstheme="minorHAnsi"/>
          <w:color w:val="58595B"/>
          <w:sz w:val="16"/>
          <w:szCs w:val="16"/>
        </w:rPr>
      </w:pPr>
      <w:r w:rsidRPr="003B7896">
        <w:rPr>
          <w:rFonts w:eastAsia="Avenir" w:cstheme="minorHAnsi"/>
          <w:color w:val="58595B"/>
          <w:sz w:val="16"/>
          <w:szCs w:val="16"/>
        </w:rPr>
        <w:t xml:space="preserve">The Nasdaq Composite Index is a market-capitalization weighted index of </w:t>
      </w:r>
      <w:proofErr w:type="gramStart"/>
      <w:r w:rsidRPr="003B7896">
        <w:rPr>
          <w:rFonts w:eastAsia="Avenir" w:cstheme="minorHAnsi"/>
          <w:color w:val="58595B"/>
          <w:sz w:val="16"/>
          <w:szCs w:val="16"/>
        </w:rPr>
        <w:t>the more</w:t>
      </w:r>
      <w:proofErr w:type="gramEnd"/>
      <w:r w:rsidRPr="003B7896">
        <w:rPr>
          <w:rFonts w:eastAsia="Avenir" w:cstheme="minorHAnsi"/>
          <w:color w:val="58595B"/>
          <w:sz w:val="16"/>
          <w:szCs w:val="16"/>
        </w:rPr>
        <w:t xml:space="preserve"> than 3,000 common equities listed on the Nasdaq stock exchange. The types 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34DAAE17" w14:textId="77777777" w:rsidR="00750961" w:rsidRPr="003B7896" w:rsidRDefault="00750961" w:rsidP="00750961">
      <w:pPr>
        <w:ind w:right="360"/>
        <w:rPr>
          <w:rFonts w:eastAsia="Avenir" w:cstheme="minorHAnsi"/>
          <w:color w:val="58595B"/>
          <w:sz w:val="16"/>
          <w:szCs w:val="16"/>
        </w:rPr>
      </w:pPr>
    </w:p>
    <w:p w14:paraId="44557408" w14:textId="77777777" w:rsidR="00750961" w:rsidRPr="003B7896" w:rsidRDefault="00750961" w:rsidP="00750961">
      <w:pPr>
        <w:ind w:right="360"/>
        <w:rPr>
          <w:rFonts w:eastAsia="Avenir" w:cstheme="minorHAnsi"/>
          <w:color w:val="58595B"/>
          <w:sz w:val="16"/>
          <w:szCs w:val="16"/>
        </w:rPr>
      </w:pPr>
      <w:r w:rsidRPr="003B7896">
        <w:rPr>
          <w:rFonts w:eastAsia="Avenir" w:cstheme="minorHAnsi"/>
          <w:color w:val="58595B"/>
          <w:sz w:val="16"/>
          <w:szCs w:val="16"/>
        </w:rPr>
        <w:t>The Dow Jones Industrial Average (DJIA) is a price-weighted average of 30 actively traded “blue chip” stocks, primarily industrials, but includes financials and other service-oriented companies. The components, which change from time to time, represent between 15% and 20% of the market value of NYSE stocks.</w:t>
      </w:r>
    </w:p>
    <w:p w14:paraId="1D514248" w14:textId="77777777" w:rsidR="00750961" w:rsidRPr="003B7896" w:rsidRDefault="00750961" w:rsidP="00750961">
      <w:pPr>
        <w:ind w:right="360"/>
        <w:rPr>
          <w:rFonts w:eastAsia="Avenir" w:cstheme="minorHAnsi"/>
          <w:color w:val="58595B"/>
          <w:sz w:val="16"/>
          <w:szCs w:val="16"/>
        </w:rPr>
      </w:pPr>
    </w:p>
    <w:p w14:paraId="516882CC" w14:textId="77777777" w:rsidR="00750961" w:rsidRPr="003B7896" w:rsidRDefault="00750961" w:rsidP="00750961">
      <w:pPr>
        <w:ind w:right="360"/>
        <w:rPr>
          <w:rFonts w:eastAsia="Avenir" w:cstheme="minorHAnsi"/>
          <w:color w:val="58595B"/>
          <w:sz w:val="16"/>
          <w:szCs w:val="16"/>
        </w:rPr>
      </w:pPr>
      <w:r w:rsidRPr="003B7896">
        <w:rPr>
          <w:rFonts w:eastAsia="Avenir" w:cstheme="minorHAnsi"/>
          <w:color w:val="58595B"/>
          <w:sz w:val="16"/>
          <w:szCs w:val="16"/>
        </w:rPr>
        <w:t>A Consumer Price Index (CPI) is a price index, the price of a weighted average market basket of consumer goods and services purchased by households. Changes in measured CPI track changes in prices over time.</w:t>
      </w:r>
    </w:p>
    <w:p w14:paraId="316EA041" w14:textId="77777777" w:rsidR="00750961" w:rsidRPr="003B7896" w:rsidRDefault="00750961" w:rsidP="00750961">
      <w:pPr>
        <w:ind w:right="360"/>
        <w:rPr>
          <w:rFonts w:eastAsia="Avenir" w:cstheme="minorHAnsi"/>
          <w:color w:val="58595B"/>
          <w:sz w:val="16"/>
          <w:szCs w:val="16"/>
        </w:rPr>
      </w:pPr>
    </w:p>
    <w:p w14:paraId="7C06B6C6" w14:textId="77777777" w:rsidR="00750961" w:rsidRPr="003B7896" w:rsidRDefault="00750961" w:rsidP="00750961">
      <w:pPr>
        <w:ind w:right="360"/>
        <w:rPr>
          <w:rFonts w:eastAsia="Avenir" w:cstheme="minorHAnsi"/>
          <w:color w:val="58595B"/>
          <w:sz w:val="20"/>
          <w:szCs w:val="20"/>
        </w:rPr>
      </w:pPr>
      <w:r w:rsidRPr="003B7896">
        <w:rPr>
          <w:rFonts w:eastAsia="Avenir" w:cstheme="minorHAnsi"/>
          <w:color w:val="58595B"/>
          <w:sz w:val="16"/>
          <w:szCs w:val="16"/>
        </w:rPr>
        <w:t xml:space="preserve">The Core Consumer Price Index (CPI) measures the changes in the price of goods and services, excluding food and energy. The CPI measures price change from the perspective of the consumer. It is a </w:t>
      </w:r>
      <w:proofErr w:type="gramStart"/>
      <w:r w:rsidRPr="003B7896">
        <w:rPr>
          <w:rFonts w:eastAsia="Avenir" w:cstheme="minorHAnsi"/>
          <w:color w:val="58595B"/>
          <w:sz w:val="16"/>
          <w:szCs w:val="16"/>
        </w:rPr>
        <w:t>key way</w:t>
      </w:r>
      <w:proofErr w:type="gramEnd"/>
      <w:r w:rsidRPr="003B7896">
        <w:rPr>
          <w:rFonts w:eastAsia="Avenir" w:cstheme="minorHAnsi"/>
          <w:color w:val="58595B"/>
          <w:sz w:val="16"/>
          <w:szCs w:val="16"/>
        </w:rPr>
        <w:t xml:space="preserve"> to measure changes in purchasing trends and inflation.</w:t>
      </w:r>
    </w:p>
    <w:p w14:paraId="5EF32F7B" w14:textId="77777777" w:rsidR="00FC7BD6" w:rsidRDefault="00FC7BD6" w:rsidP="00BF0243">
      <w:pPr>
        <w:widowControl/>
        <w:rPr>
          <w:rFonts w:cstheme="minorHAnsi"/>
          <w:color w:val="58595B"/>
          <w:sz w:val="16"/>
          <w:szCs w:val="16"/>
        </w:rPr>
      </w:pPr>
    </w:p>
    <w:p w14:paraId="4568CBF8" w14:textId="77777777" w:rsidR="00FC7BD6" w:rsidRDefault="00FC7BD6" w:rsidP="00BF0243">
      <w:pPr>
        <w:widowControl/>
        <w:rPr>
          <w:rFonts w:cstheme="minorHAnsi"/>
          <w:color w:val="58595B"/>
          <w:sz w:val="16"/>
          <w:szCs w:val="16"/>
        </w:rPr>
      </w:pPr>
    </w:p>
    <w:p w14:paraId="38BAF61A" w14:textId="77777777" w:rsidR="00FC7BD6" w:rsidRDefault="00FC7BD6" w:rsidP="00BF0243">
      <w:pPr>
        <w:widowControl/>
        <w:rPr>
          <w:rFonts w:cstheme="minorHAnsi"/>
          <w:color w:val="58595B"/>
          <w:sz w:val="16"/>
          <w:szCs w:val="16"/>
        </w:rPr>
      </w:pPr>
    </w:p>
    <w:p w14:paraId="0A6BBA20" w14:textId="77777777" w:rsidR="00FC7BD6" w:rsidRDefault="00FC7BD6" w:rsidP="00BF0243">
      <w:pPr>
        <w:widowControl/>
        <w:rPr>
          <w:rFonts w:cstheme="minorHAnsi"/>
          <w:color w:val="58595B"/>
          <w:sz w:val="16"/>
          <w:szCs w:val="16"/>
        </w:rPr>
      </w:pPr>
    </w:p>
    <w:p w14:paraId="0518F089" w14:textId="77777777" w:rsidR="00FC7BD6" w:rsidRDefault="00FC7BD6" w:rsidP="00BF0243">
      <w:pPr>
        <w:widowControl/>
        <w:rPr>
          <w:rFonts w:cstheme="minorHAnsi"/>
          <w:color w:val="58595B"/>
          <w:sz w:val="16"/>
          <w:szCs w:val="16"/>
        </w:rPr>
      </w:pPr>
    </w:p>
    <w:p w14:paraId="6069CDA4" w14:textId="77777777" w:rsidR="00FC7BD6" w:rsidRDefault="00FC7BD6" w:rsidP="00BF0243">
      <w:pPr>
        <w:widowControl/>
        <w:rPr>
          <w:rFonts w:cstheme="minorHAnsi"/>
          <w:color w:val="58595B"/>
          <w:sz w:val="16"/>
          <w:szCs w:val="16"/>
        </w:rPr>
      </w:pPr>
    </w:p>
    <w:p w14:paraId="4ADDCB0E" w14:textId="77777777" w:rsidR="00FC7BD6" w:rsidRDefault="00FC7BD6" w:rsidP="00BF0243">
      <w:pPr>
        <w:widowControl/>
        <w:rPr>
          <w:rFonts w:cstheme="minorHAnsi"/>
          <w:color w:val="58595B"/>
          <w:sz w:val="16"/>
          <w:szCs w:val="16"/>
        </w:rPr>
      </w:pPr>
    </w:p>
    <w:p w14:paraId="2667C1EC" w14:textId="77777777" w:rsidR="00FC7BD6" w:rsidRDefault="00FC7BD6" w:rsidP="00BF0243">
      <w:pPr>
        <w:widowControl/>
        <w:rPr>
          <w:rFonts w:cstheme="minorHAnsi"/>
          <w:color w:val="58595B"/>
          <w:sz w:val="16"/>
          <w:szCs w:val="16"/>
        </w:rPr>
      </w:pPr>
    </w:p>
    <w:p w14:paraId="620F70BB" w14:textId="77777777" w:rsidR="00FC7BD6" w:rsidRDefault="00FC7BD6" w:rsidP="00BF0243">
      <w:pPr>
        <w:widowControl/>
        <w:rPr>
          <w:rFonts w:cstheme="minorHAnsi"/>
          <w:color w:val="58595B"/>
          <w:sz w:val="16"/>
          <w:szCs w:val="16"/>
        </w:rPr>
      </w:pPr>
    </w:p>
    <w:p w14:paraId="7FC3DB63" w14:textId="77777777" w:rsidR="00FC7BD6" w:rsidRDefault="00FC7BD6" w:rsidP="00BF0243">
      <w:pPr>
        <w:widowControl/>
        <w:rPr>
          <w:rFonts w:cstheme="minorHAnsi"/>
          <w:color w:val="58595B"/>
          <w:sz w:val="16"/>
          <w:szCs w:val="16"/>
        </w:rPr>
      </w:pPr>
    </w:p>
    <w:p w14:paraId="668C1BCB" w14:textId="77777777" w:rsidR="00FC7BD6" w:rsidRDefault="00FC7BD6" w:rsidP="00BF0243">
      <w:pPr>
        <w:widowControl/>
        <w:rPr>
          <w:rFonts w:cstheme="minorHAnsi"/>
          <w:color w:val="58595B"/>
          <w:sz w:val="16"/>
          <w:szCs w:val="16"/>
        </w:rPr>
      </w:pPr>
    </w:p>
    <w:p w14:paraId="0367BDDC" w14:textId="77777777" w:rsidR="00FC7BD6" w:rsidRDefault="00FC7BD6" w:rsidP="00BF0243">
      <w:pPr>
        <w:widowControl/>
        <w:rPr>
          <w:rFonts w:cstheme="minorHAnsi"/>
          <w:color w:val="58595B"/>
          <w:sz w:val="16"/>
          <w:szCs w:val="16"/>
        </w:rPr>
      </w:pPr>
    </w:p>
    <w:p w14:paraId="0939B169" w14:textId="77777777" w:rsidR="00FC7BD6" w:rsidRDefault="00FC7BD6" w:rsidP="00BF0243">
      <w:pPr>
        <w:widowControl/>
        <w:rPr>
          <w:rFonts w:cstheme="minorHAnsi"/>
          <w:color w:val="58595B"/>
          <w:sz w:val="16"/>
          <w:szCs w:val="16"/>
        </w:rPr>
      </w:pPr>
    </w:p>
    <w:p w14:paraId="117BD67B" w14:textId="77777777" w:rsidR="00FC7BD6" w:rsidRDefault="00FC7BD6" w:rsidP="00BF0243">
      <w:pPr>
        <w:widowControl/>
        <w:rPr>
          <w:rFonts w:cstheme="minorHAnsi"/>
          <w:color w:val="58595B"/>
          <w:sz w:val="16"/>
          <w:szCs w:val="16"/>
        </w:rPr>
      </w:pPr>
    </w:p>
    <w:p w14:paraId="66ACEACC" w14:textId="77777777" w:rsidR="00FC7BD6" w:rsidRDefault="00FC7BD6" w:rsidP="00BF0243">
      <w:pPr>
        <w:widowControl/>
        <w:rPr>
          <w:rFonts w:cstheme="minorHAnsi"/>
          <w:color w:val="58595B"/>
          <w:sz w:val="16"/>
          <w:szCs w:val="16"/>
        </w:rPr>
      </w:pPr>
    </w:p>
    <w:p w14:paraId="499826DA" w14:textId="77777777" w:rsidR="00FC7BD6" w:rsidRDefault="00FC7BD6" w:rsidP="00BF0243">
      <w:pPr>
        <w:widowControl/>
        <w:rPr>
          <w:rFonts w:cstheme="minorHAnsi"/>
          <w:color w:val="58595B"/>
          <w:sz w:val="16"/>
          <w:szCs w:val="16"/>
        </w:rPr>
      </w:pPr>
    </w:p>
    <w:p w14:paraId="34745F73" w14:textId="77777777" w:rsidR="00FC7BD6" w:rsidRDefault="00FC7BD6" w:rsidP="00BF0243">
      <w:pPr>
        <w:widowControl/>
        <w:rPr>
          <w:rFonts w:cstheme="minorHAnsi"/>
          <w:color w:val="58595B"/>
          <w:sz w:val="16"/>
          <w:szCs w:val="16"/>
        </w:rPr>
      </w:pPr>
    </w:p>
    <w:p w14:paraId="648F8FA4" w14:textId="77777777" w:rsidR="00FC7BD6" w:rsidRDefault="00FC7BD6" w:rsidP="00BF0243">
      <w:pPr>
        <w:widowControl/>
        <w:rPr>
          <w:rFonts w:cstheme="minorHAnsi"/>
          <w:color w:val="58595B"/>
          <w:sz w:val="16"/>
          <w:szCs w:val="16"/>
        </w:rPr>
      </w:pPr>
    </w:p>
    <w:p w14:paraId="2A78202A" w14:textId="77777777" w:rsidR="00FC7BD6" w:rsidRDefault="00FC7BD6" w:rsidP="00BF0243">
      <w:pPr>
        <w:widowControl/>
        <w:rPr>
          <w:rFonts w:cstheme="minorHAnsi"/>
          <w:color w:val="58595B"/>
          <w:sz w:val="16"/>
          <w:szCs w:val="16"/>
        </w:rPr>
      </w:pPr>
    </w:p>
    <w:p w14:paraId="2B275ECC" w14:textId="77777777" w:rsidR="00FC7BD6" w:rsidRDefault="00FC7BD6" w:rsidP="00BF0243">
      <w:pPr>
        <w:widowControl/>
        <w:rPr>
          <w:rFonts w:cstheme="minorHAnsi"/>
          <w:color w:val="58595B"/>
          <w:sz w:val="16"/>
          <w:szCs w:val="16"/>
        </w:rPr>
      </w:pPr>
    </w:p>
    <w:p w14:paraId="7E61BD61" w14:textId="77777777" w:rsidR="00FC7BD6" w:rsidRDefault="00FC7BD6" w:rsidP="00BF0243">
      <w:pPr>
        <w:widowControl/>
        <w:rPr>
          <w:rFonts w:cstheme="minorHAnsi"/>
          <w:color w:val="58595B"/>
          <w:sz w:val="16"/>
          <w:szCs w:val="16"/>
        </w:rPr>
      </w:pPr>
    </w:p>
    <w:p w14:paraId="70816D62" w14:textId="77777777" w:rsidR="00FC7BD6" w:rsidRDefault="00FC7BD6" w:rsidP="00BF0243">
      <w:pPr>
        <w:widowControl/>
        <w:rPr>
          <w:rFonts w:cstheme="minorHAnsi"/>
          <w:color w:val="58595B"/>
          <w:sz w:val="16"/>
          <w:szCs w:val="16"/>
        </w:rPr>
      </w:pPr>
    </w:p>
    <w:p w14:paraId="3CD314AF" w14:textId="77777777" w:rsidR="00750961" w:rsidRDefault="00750961" w:rsidP="00BF0243">
      <w:pPr>
        <w:widowControl/>
        <w:rPr>
          <w:rFonts w:cstheme="minorHAnsi"/>
          <w:color w:val="58595B"/>
          <w:sz w:val="16"/>
          <w:szCs w:val="16"/>
        </w:rPr>
      </w:pPr>
    </w:p>
    <w:p w14:paraId="4515D7EB" w14:textId="77777777" w:rsidR="00750961" w:rsidRDefault="00750961" w:rsidP="00BF0243">
      <w:pPr>
        <w:widowControl/>
        <w:rPr>
          <w:rFonts w:cstheme="minorHAnsi"/>
          <w:color w:val="58595B"/>
          <w:sz w:val="16"/>
          <w:szCs w:val="16"/>
        </w:rPr>
      </w:pPr>
    </w:p>
    <w:p w14:paraId="63F210CC" w14:textId="77777777" w:rsidR="00750961" w:rsidRDefault="00750961" w:rsidP="00BF0243">
      <w:pPr>
        <w:widowControl/>
        <w:rPr>
          <w:rFonts w:cstheme="minorHAnsi"/>
          <w:color w:val="58595B"/>
          <w:sz w:val="16"/>
          <w:szCs w:val="16"/>
        </w:rPr>
      </w:pPr>
    </w:p>
    <w:p w14:paraId="0DE2467C" w14:textId="77777777" w:rsidR="00750961" w:rsidRDefault="00750961" w:rsidP="00BF0243">
      <w:pPr>
        <w:widowControl/>
        <w:rPr>
          <w:rFonts w:cstheme="minorHAnsi"/>
          <w:color w:val="58595B"/>
          <w:sz w:val="16"/>
          <w:szCs w:val="16"/>
        </w:rPr>
      </w:pPr>
    </w:p>
    <w:p w14:paraId="46C49887" w14:textId="77777777" w:rsidR="00750961" w:rsidRDefault="00750961" w:rsidP="00BF0243">
      <w:pPr>
        <w:widowControl/>
        <w:rPr>
          <w:rFonts w:cstheme="minorHAnsi"/>
          <w:color w:val="58595B"/>
          <w:sz w:val="16"/>
          <w:szCs w:val="16"/>
        </w:rPr>
      </w:pPr>
    </w:p>
    <w:p w14:paraId="7A489C95" w14:textId="77777777" w:rsidR="00750961" w:rsidRDefault="00750961" w:rsidP="00BF0243">
      <w:pPr>
        <w:widowControl/>
        <w:rPr>
          <w:rFonts w:cstheme="minorHAnsi"/>
          <w:color w:val="58595B"/>
          <w:sz w:val="16"/>
          <w:szCs w:val="16"/>
        </w:rPr>
      </w:pPr>
    </w:p>
    <w:p w14:paraId="375091BB" w14:textId="77777777" w:rsidR="00750961" w:rsidRDefault="00750961" w:rsidP="00BF0243">
      <w:pPr>
        <w:widowControl/>
        <w:rPr>
          <w:rFonts w:cstheme="minorHAnsi"/>
          <w:color w:val="58595B"/>
          <w:sz w:val="16"/>
          <w:szCs w:val="16"/>
        </w:rPr>
      </w:pPr>
    </w:p>
    <w:p w14:paraId="20F98A49" w14:textId="77777777" w:rsidR="00750961" w:rsidRDefault="00750961" w:rsidP="00BF0243">
      <w:pPr>
        <w:widowControl/>
        <w:rPr>
          <w:rFonts w:cstheme="minorHAnsi"/>
          <w:color w:val="58595B"/>
          <w:sz w:val="16"/>
          <w:szCs w:val="16"/>
        </w:rPr>
      </w:pPr>
    </w:p>
    <w:p w14:paraId="0EA74150" w14:textId="77777777" w:rsidR="00750961" w:rsidRDefault="00750961" w:rsidP="00BF0243">
      <w:pPr>
        <w:widowControl/>
        <w:rPr>
          <w:rFonts w:cstheme="minorHAnsi"/>
          <w:color w:val="58595B"/>
          <w:sz w:val="16"/>
          <w:szCs w:val="16"/>
        </w:rPr>
      </w:pPr>
    </w:p>
    <w:p w14:paraId="1B42F962" w14:textId="77777777" w:rsidR="00750961" w:rsidRDefault="00750961" w:rsidP="00BF0243">
      <w:pPr>
        <w:widowControl/>
        <w:rPr>
          <w:rFonts w:cstheme="minorHAnsi"/>
          <w:color w:val="58595B"/>
          <w:sz w:val="16"/>
          <w:szCs w:val="16"/>
        </w:rPr>
      </w:pPr>
    </w:p>
    <w:p w14:paraId="2475B092" w14:textId="77777777" w:rsidR="00750961" w:rsidRDefault="00750961" w:rsidP="00BF0243">
      <w:pPr>
        <w:widowControl/>
        <w:rPr>
          <w:rFonts w:cstheme="minorHAnsi"/>
          <w:color w:val="58595B"/>
          <w:sz w:val="16"/>
          <w:szCs w:val="16"/>
        </w:rPr>
      </w:pPr>
    </w:p>
    <w:p w14:paraId="6DE277E5" w14:textId="77777777" w:rsidR="00750961" w:rsidRDefault="00750961" w:rsidP="00BF0243">
      <w:pPr>
        <w:widowControl/>
        <w:rPr>
          <w:rFonts w:cstheme="minorHAnsi"/>
          <w:color w:val="58595B"/>
          <w:sz w:val="16"/>
          <w:szCs w:val="16"/>
        </w:rPr>
      </w:pPr>
    </w:p>
    <w:p w14:paraId="42A69451" w14:textId="77777777" w:rsidR="00750961" w:rsidRDefault="00750961" w:rsidP="00BF0243">
      <w:pPr>
        <w:widowControl/>
        <w:rPr>
          <w:rFonts w:cstheme="minorHAnsi"/>
          <w:color w:val="58595B"/>
          <w:sz w:val="16"/>
          <w:szCs w:val="16"/>
        </w:rPr>
      </w:pPr>
    </w:p>
    <w:p w14:paraId="6708E561" w14:textId="77777777" w:rsidR="00750961" w:rsidRDefault="00750961" w:rsidP="00BF0243">
      <w:pPr>
        <w:widowControl/>
        <w:rPr>
          <w:rFonts w:cstheme="minorHAnsi"/>
          <w:color w:val="58595B"/>
          <w:sz w:val="16"/>
          <w:szCs w:val="16"/>
        </w:rPr>
      </w:pPr>
    </w:p>
    <w:p w14:paraId="59091AAF" w14:textId="77777777" w:rsidR="00750961" w:rsidRDefault="00750961" w:rsidP="00BF0243">
      <w:pPr>
        <w:widowControl/>
        <w:rPr>
          <w:rFonts w:cstheme="minorHAnsi"/>
          <w:color w:val="58595B"/>
          <w:sz w:val="16"/>
          <w:szCs w:val="16"/>
        </w:rPr>
      </w:pPr>
    </w:p>
    <w:p w14:paraId="4C835927" w14:textId="77777777" w:rsidR="00750961" w:rsidRDefault="00750961" w:rsidP="00BF0243">
      <w:pPr>
        <w:widowControl/>
        <w:rPr>
          <w:rFonts w:cstheme="minorHAnsi"/>
          <w:color w:val="58595B"/>
          <w:sz w:val="16"/>
          <w:szCs w:val="16"/>
        </w:rPr>
      </w:pPr>
    </w:p>
    <w:p w14:paraId="2A16C988" w14:textId="77777777" w:rsidR="00750961" w:rsidRDefault="00750961" w:rsidP="00BF0243">
      <w:pPr>
        <w:widowControl/>
        <w:rPr>
          <w:rFonts w:cstheme="minorHAnsi"/>
          <w:color w:val="58595B"/>
          <w:sz w:val="16"/>
          <w:szCs w:val="16"/>
        </w:rPr>
      </w:pPr>
    </w:p>
    <w:p w14:paraId="35009E70" w14:textId="77777777" w:rsidR="00750961" w:rsidRDefault="00750961" w:rsidP="00BF0243">
      <w:pPr>
        <w:widowControl/>
        <w:rPr>
          <w:rFonts w:cstheme="minorHAnsi"/>
          <w:color w:val="58595B"/>
          <w:sz w:val="16"/>
          <w:szCs w:val="16"/>
        </w:rPr>
      </w:pPr>
    </w:p>
    <w:p w14:paraId="4D7DA6F3" w14:textId="77777777" w:rsidR="00750961" w:rsidRDefault="00750961" w:rsidP="00BF0243">
      <w:pPr>
        <w:widowControl/>
        <w:rPr>
          <w:rFonts w:cstheme="minorHAnsi"/>
          <w:color w:val="58595B"/>
          <w:sz w:val="16"/>
          <w:szCs w:val="16"/>
        </w:rPr>
      </w:pPr>
    </w:p>
    <w:p w14:paraId="420D9185" w14:textId="77777777" w:rsidR="00750961" w:rsidRDefault="00750961" w:rsidP="00BF0243">
      <w:pPr>
        <w:widowControl/>
        <w:rPr>
          <w:rFonts w:cstheme="minorHAnsi"/>
          <w:color w:val="58595B"/>
          <w:sz w:val="16"/>
          <w:szCs w:val="16"/>
        </w:rPr>
      </w:pPr>
    </w:p>
    <w:p w14:paraId="60517461" w14:textId="77777777" w:rsidR="00750961" w:rsidRDefault="00750961" w:rsidP="00BF0243">
      <w:pPr>
        <w:widowControl/>
        <w:rPr>
          <w:rFonts w:cstheme="minorHAnsi"/>
          <w:color w:val="58595B"/>
          <w:sz w:val="16"/>
          <w:szCs w:val="16"/>
        </w:rPr>
      </w:pPr>
    </w:p>
    <w:p w14:paraId="225EB47C" w14:textId="77777777" w:rsidR="00750961" w:rsidRDefault="00750961" w:rsidP="00BF0243">
      <w:pPr>
        <w:widowControl/>
        <w:rPr>
          <w:rFonts w:cstheme="minorHAnsi"/>
          <w:color w:val="58595B"/>
          <w:sz w:val="16"/>
          <w:szCs w:val="16"/>
        </w:rPr>
      </w:pPr>
    </w:p>
    <w:p w14:paraId="7F9E7A72" w14:textId="77777777" w:rsidR="00FC7BD6" w:rsidRDefault="00FC7BD6" w:rsidP="00BF0243">
      <w:pPr>
        <w:widowControl/>
        <w:rPr>
          <w:rFonts w:cstheme="minorHAnsi"/>
          <w:color w:val="58595B"/>
          <w:sz w:val="16"/>
          <w:szCs w:val="16"/>
        </w:rPr>
      </w:pPr>
    </w:p>
    <w:p w14:paraId="27003AF1" w14:textId="77777777" w:rsidR="00FC7BD6" w:rsidRDefault="00FC7BD6" w:rsidP="00BF0243">
      <w:pPr>
        <w:widowControl/>
        <w:rPr>
          <w:rFonts w:cstheme="minorHAnsi"/>
          <w:color w:val="58595B"/>
          <w:sz w:val="16"/>
          <w:szCs w:val="16"/>
        </w:rPr>
      </w:pPr>
    </w:p>
    <w:p w14:paraId="74C1339F" w14:textId="77777777" w:rsidR="00D922F6" w:rsidRDefault="00D922F6" w:rsidP="00BF0243">
      <w:pPr>
        <w:widowControl/>
        <w:rPr>
          <w:rFonts w:cstheme="minorHAnsi"/>
          <w:color w:val="58595B"/>
          <w:sz w:val="16"/>
          <w:szCs w:val="16"/>
        </w:rPr>
      </w:pPr>
    </w:p>
    <w:p w14:paraId="6038D136" w14:textId="77777777" w:rsidR="00FC7BD6" w:rsidRDefault="00FC7BD6" w:rsidP="00BF0243">
      <w:pPr>
        <w:widowControl/>
        <w:rPr>
          <w:rFonts w:cstheme="minorHAnsi"/>
          <w:color w:val="58595B"/>
          <w:sz w:val="16"/>
          <w:szCs w:val="16"/>
        </w:rPr>
      </w:pPr>
    </w:p>
    <w:p w14:paraId="7EAD7A8A" w14:textId="77777777" w:rsidR="00FC7BD6" w:rsidRDefault="00FC7BD6" w:rsidP="00BF0243">
      <w:pPr>
        <w:widowControl/>
        <w:rPr>
          <w:rFonts w:cstheme="minorHAnsi"/>
          <w:color w:val="58595B"/>
          <w:sz w:val="16"/>
          <w:szCs w:val="16"/>
        </w:rPr>
      </w:pPr>
    </w:p>
    <w:p w14:paraId="03E406D7" w14:textId="77777777" w:rsidR="00FC7BD6" w:rsidRDefault="00FC7BD6" w:rsidP="00BF0243">
      <w:pPr>
        <w:widowControl/>
        <w:rPr>
          <w:rFonts w:cstheme="minorHAnsi"/>
          <w:color w:val="58595B"/>
          <w:sz w:val="16"/>
          <w:szCs w:val="16"/>
        </w:rPr>
      </w:pPr>
    </w:p>
    <w:p w14:paraId="05C49B31" w14:textId="77777777" w:rsidR="00FC7BD6" w:rsidRDefault="00FC7BD6" w:rsidP="00BF0243">
      <w:pPr>
        <w:widowControl/>
        <w:rPr>
          <w:rFonts w:cstheme="minorHAnsi"/>
          <w:color w:val="58595B"/>
          <w:sz w:val="16"/>
          <w:szCs w:val="16"/>
        </w:rPr>
      </w:pPr>
    </w:p>
    <w:p w14:paraId="0BB0043C" w14:textId="00F2A84E" w:rsidR="00834733" w:rsidRPr="0017149B" w:rsidRDefault="00486DA1" w:rsidP="00BF0243">
      <w:pPr>
        <w:widowControl/>
        <w:rPr>
          <w:rFonts w:cstheme="minorHAnsi"/>
          <w:color w:val="58595B"/>
          <w:sz w:val="16"/>
          <w:szCs w:val="16"/>
        </w:rPr>
      </w:pPr>
      <w:r w:rsidRPr="0017149B">
        <w:rPr>
          <w:rFonts w:cstheme="minorHAnsi"/>
          <w:color w:val="58595B"/>
          <w:sz w:val="16"/>
          <w:szCs w:val="16"/>
        </w:rPr>
        <w:t>©20</w:t>
      </w:r>
      <w:r w:rsidR="00834733" w:rsidRPr="0017149B">
        <w:rPr>
          <w:rFonts w:cstheme="minorHAnsi"/>
          <w:color w:val="58595B"/>
          <w:sz w:val="16"/>
          <w:szCs w:val="16"/>
        </w:rPr>
        <w:t>2</w:t>
      </w:r>
      <w:r w:rsidR="00750961">
        <w:rPr>
          <w:rFonts w:cstheme="minorHAnsi"/>
          <w:color w:val="58595B"/>
          <w:sz w:val="16"/>
          <w:szCs w:val="16"/>
        </w:rPr>
        <w:t>4</w:t>
      </w:r>
      <w:r w:rsidRPr="0017149B">
        <w:rPr>
          <w:rFonts w:cstheme="minorHAnsi"/>
          <w:color w:val="58595B"/>
          <w:sz w:val="16"/>
          <w:szCs w:val="16"/>
        </w:rPr>
        <w:t xml:space="preserve"> Wealthcare Capital Management LLC </w:t>
      </w:r>
      <w:r w:rsidR="00E249E2" w:rsidRPr="0017149B">
        <w:rPr>
          <w:rFonts w:cstheme="minorHAnsi"/>
          <w:color w:val="58595B"/>
          <w:sz w:val="16"/>
          <w:szCs w:val="16"/>
        </w:rPr>
        <w:t xml:space="preserve">and Wealthcare Advisory Partners LLC </w:t>
      </w:r>
      <w:r w:rsidRPr="0017149B">
        <w:rPr>
          <w:rFonts w:cstheme="minorHAnsi"/>
          <w:color w:val="58595B"/>
          <w:sz w:val="16"/>
          <w:szCs w:val="16"/>
        </w:rPr>
        <w:t>(</w:t>
      </w:r>
      <w:r w:rsidR="00E15CC8" w:rsidRPr="0017149B">
        <w:rPr>
          <w:rFonts w:cstheme="minorHAnsi"/>
          <w:color w:val="58595B"/>
          <w:sz w:val="16"/>
          <w:szCs w:val="16"/>
        </w:rPr>
        <w:t>"</w:t>
      </w:r>
      <w:r w:rsidRPr="0017149B">
        <w:rPr>
          <w:rFonts w:cstheme="minorHAnsi"/>
          <w:color w:val="58595B"/>
          <w:sz w:val="16"/>
          <w:szCs w:val="16"/>
        </w:rPr>
        <w:t>Wealthcare</w:t>
      </w:r>
      <w:r w:rsidR="00E15CC8" w:rsidRPr="0017149B">
        <w:rPr>
          <w:rFonts w:cstheme="minorHAnsi"/>
          <w:color w:val="58595B"/>
          <w:sz w:val="16"/>
          <w:szCs w:val="16"/>
        </w:rPr>
        <w:t>"</w:t>
      </w:r>
      <w:r w:rsidRPr="0017149B">
        <w:rPr>
          <w:rFonts w:cstheme="minorHAnsi"/>
          <w:color w:val="58595B"/>
          <w:sz w:val="16"/>
          <w:szCs w:val="16"/>
        </w:rPr>
        <w:t>) is a registered investment advisor with the U.S. Securities and Exchange Commission (SEC) under the Investment Advisors Act of 1940.  All Rights Reserved.  </w:t>
      </w:r>
    </w:p>
    <w:p w14:paraId="3545E6AC" w14:textId="77777777" w:rsidR="00FB63C1" w:rsidRPr="0017149B" w:rsidRDefault="00FB63C1" w:rsidP="00524C3C">
      <w:pPr>
        <w:widowControl/>
        <w:spacing w:line="120" w:lineRule="auto"/>
        <w:rPr>
          <w:rFonts w:cstheme="minorHAnsi"/>
          <w:color w:val="58595B"/>
          <w:sz w:val="16"/>
          <w:szCs w:val="16"/>
        </w:rPr>
      </w:pPr>
    </w:p>
    <w:p w14:paraId="48BBA534" w14:textId="7EFF1581" w:rsidR="00834733" w:rsidRPr="0017149B" w:rsidRDefault="00486DA1" w:rsidP="00BF0243">
      <w:pPr>
        <w:pStyle w:val="BodyText"/>
        <w:widowControl/>
        <w:ind w:left="0"/>
        <w:rPr>
          <w:rFonts w:asciiTheme="minorHAnsi" w:eastAsiaTheme="minorEastAsia" w:hAnsiTheme="minorHAnsi" w:cstheme="minorHAnsi"/>
          <w:color w:val="58595B"/>
          <w:sz w:val="16"/>
          <w:szCs w:val="16"/>
        </w:rPr>
      </w:pPr>
      <w:proofErr w:type="gramStart"/>
      <w:r w:rsidRPr="0017149B">
        <w:rPr>
          <w:rFonts w:asciiTheme="minorHAnsi" w:eastAsiaTheme="minorEastAsia" w:hAnsiTheme="minorHAnsi" w:cstheme="minorHAnsi"/>
          <w:color w:val="58595B"/>
          <w:sz w:val="16"/>
          <w:szCs w:val="16"/>
        </w:rPr>
        <w:t>Information</w:t>
      </w:r>
      <w:proofErr w:type="gramEnd"/>
      <w:r w:rsidRPr="0017149B">
        <w:rPr>
          <w:rFonts w:asciiTheme="minorHAnsi" w:eastAsiaTheme="minorEastAsia" w:hAnsiTheme="minorHAnsi" w:cstheme="minorHAnsi"/>
          <w:color w:val="58595B"/>
          <w:sz w:val="16"/>
          <w:szCs w:val="16"/>
        </w:rPr>
        <w:t xml:space="preserve"> contained herein is at a point in time and subject to change without notice. Information is derived from sources which are believed to be reliable but are not independently audited. </w:t>
      </w:r>
    </w:p>
    <w:p w14:paraId="3C68B9A3" w14:textId="77777777" w:rsidR="00FB63C1" w:rsidRPr="0017149B"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739FE856" w:rsidR="008E01C4" w:rsidRPr="0017149B" w:rsidRDefault="00486DA1" w:rsidP="00BF0243">
      <w:pPr>
        <w:widowControl/>
        <w:rPr>
          <w:rFonts w:eastAsiaTheme="minorEastAsia" w:cstheme="minorHAnsi"/>
          <w:color w:val="58595B"/>
          <w:sz w:val="16"/>
          <w:szCs w:val="16"/>
        </w:rPr>
      </w:pPr>
      <w:r w:rsidRPr="0017149B">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17149B">
        <w:rPr>
          <w:rFonts w:eastAsiaTheme="minorEastAsia" w:cstheme="minorHAnsi"/>
          <w:iCs/>
          <w:color w:val="58595B"/>
          <w:sz w:val="16"/>
          <w:szCs w:val="16"/>
        </w:rPr>
        <w:t xml:space="preserve">or guarantee a client will in all </w:t>
      </w:r>
      <w:r w:rsidRPr="0017149B">
        <w:rPr>
          <w:rFonts w:eastAsiaTheme="minorEastAsia" w:cstheme="minorHAnsi"/>
          <w:color w:val="58595B"/>
          <w:sz w:val="16"/>
          <w:szCs w:val="16"/>
        </w:rPr>
        <w:t>circumstances of changing personal financial goals and market conditions be able to remain in a client's Wealthcare Plan Comfort Zone®.</w:t>
      </w:r>
      <w:r w:rsidRPr="0017149B">
        <w:rPr>
          <w:rFonts w:eastAsiaTheme="minorEastAsia" w:cstheme="minorHAnsi"/>
          <w:i/>
          <w:iCs/>
          <w:color w:val="58595B"/>
          <w:sz w:val="16"/>
          <w:szCs w:val="16"/>
        </w:rPr>
        <w:t xml:space="preserve"> </w:t>
      </w:r>
      <w:r w:rsidRPr="0017149B">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w:t>
      </w:r>
      <w:proofErr w:type="gramStart"/>
      <w:r w:rsidRPr="0017149B">
        <w:rPr>
          <w:rFonts w:eastAsiaTheme="minorEastAsia" w:cstheme="minorHAnsi"/>
          <w:color w:val="58595B"/>
          <w:sz w:val="16"/>
          <w:szCs w:val="16"/>
        </w:rPr>
        <w:t>period of time</w:t>
      </w:r>
      <w:proofErr w:type="gramEnd"/>
      <w:r w:rsidRPr="0017149B">
        <w:rPr>
          <w:rFonts w:eastAsiaTheme="minorEastAsia" w:cstheme="minorHAnsi"/>
          <w:color w:val="58595B"/>
          <w:sz w:val="16"/>
          <w:szCs w:val="16"/>
        </w:rPr>
        <w:t xml:space="preserve">.  </w:t>
      </w:r>
    </w:p>
    <w:p w14:paraId="35D64863" w14:textId="77777777" w:rsidR="00B42635" w:rsidRPr="0017149B" w:rsidRDefault="00B42635" w:rsidP="00BF0243">
      <w:pPr>
        <w:widowControl/>
        <w:rPr>
          <w:rFonts w:eastAsiaTheme="minorEastAsia" w:cstheme="minorHAnsi"/>
          <w:color w:val="58595B"/>
          <w:sz w:val="10"/>
          <w:szCs w:val="10"/>
        </w:rPr>
      </w:pPr>
    </w:p>
    <w:p w14:paraId="3245EC30" w14:textId="77777777" w:rsidR="00C519BC" w:rsidRPr="0017149B" w:rsidRDefault="00C519BC" w:rsidP="00BF0243">
      <w:pPr>
        <w:widowControl/>
        <w:rPr>
          <w:rFonts w:eastAsiaTheme="minorEastAsia" w:cstheme="minorHAnsi"/>
          <w:color w:val="58595B"/>
          <w:sz w:val="16"/>
          <w:szCs w:val="16"/>
        </w:rPr>
      </w:pPr>
    </w:p>
    <w:p w14:paraId="0C7B813D" w14:textId="22FD243C" w:rsidR="005D075C" w:rsidRPr="0017149B" w:rsidRDefault="00486DA1" w:rsidP="00BF0243">
      <w:pPr>
        <w:jc w:val="center"/>
        <w:rPr>
          <w:rFonts w:eastAsia="Calibri" w:cstheme="minorHAnsi"/>
          <w:color w:val="58595B"/>
          <w:sz w:val="20"/>
          <w:szCs w:val="20"/>
        </w:rPr>
      </w:pPr>
      <w:r w:rsidRPr="0017149B">
        <w:rPr>
          <w:rFonts w:eastAsia="Calibri" w:cstheme="minorHAnsi"/>
          <w:noProof/>
          <w:color w:val="58595B"/>
          <w:sz w:val="20"/>
          <w:szCs w:val="20"/>
        </w:rPr>
        <w:drawing>
          <wp:inline distT="0" distB="0" distL="0" distR="0" wp14:anchorId="6FB7838E" wp14:editId="51502874">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17149B" w:rsidRDefault="00420166" w:rsidP="00BF0243">
      <w:pPr>
        <w:jc w:val="center"/>
        <w:rPr>
          <w:rFonts w:eastAsia="Calibri" w:cstheme="minorHAnsi"/>
          <w:color w:val="58595B"/>
          <w:sz w:val="20"/>
          <w:szCs w:val="20"/>
        </w:rPr>
      </w:pPr>
    </w:p>
    <w:p w14:paraId="10C4F9F5" w14:textId="77777777" w:rsidR="0075254C" w:rsidRPr="0017149B" w:rsidRDefault="0075254C" w:rsidP="00BF0243">
      <w:pPr>
        <w:jc w:val="center"/>
        <w:rPr>
          <w:rFonts w:eastAsia="Calibri" w:cstheme="minorHAnsi"/>
          <w:color w:val="58595B"/>
          <w:sz w:val="10"/>
          <w:szCs w:val="10"/>
        </w:rPr>
      </w:pPr>
    </w:p>
    <w:p w14:paraId="4E3A0774" w14:textId="54C850ED" w:rsidR="00DC061F" w:rsidRPr="0017149B" w:rsidRDefault="00486DA1" w:rsidP="00BF0243">
      <w:pPr>
        <w:pStyle w:val="BodyText"/>
        <w:ind w:left="0"/>
        <w:jc w:val="center"/>
        <w:rPr>
          <w:rFonts w:asciiTheme="minorHAnsi" w:hAnsiTheme="minorHAnsi" w:cstheme="minorHAnsi"/>
          <w:color w:val="58595B"/>
          <w:spacing w:val="-1"/>
        </w:rPr>
      </w:pPr>
      <w:r w:rsidRPr="0017149B">
        <w:rPr>
          <w:rFonts w:asciiTheme="minorHAnsi" w:hAnsiTheme="minorHAnsi" w:cstheme="minorHAnsi"/>
          <w:color w:val="58595B"/>
        </w:rPr>
        <w:t>Two James Center</w:t>
      </w:r>
      <w:r w:rsidR="00CC2D02" w:rsidRPr="0017149B">
        <w:rPr>
          <w:rFonts w:asciiTheme="minorHAnsi" w:hAnsiTheme="minorHAnsi" w:cstheme="minorHAnsi"/>
          <w:color w:val="58595B"/>
        </w:rPr>
        <w:t>,</w:t>
      </w:r>
      <w:r w:rsidRPr="0017149B">
        <w:rPr>
          <w:rFonts w:asciiTheme="minorHAnsi" w:hAnsiTheme="minorHAnsi" w:cstheme="minorHAnsi"/>
          <w:color w:val="58595B"/>
        </w:rPr>
        <w:t xml:space="preserve"> 102</w:t>
      </w:r>
      <w:r w:rsidR="00CC2D02" w:rsidRPr="0017149B">
        <w:rPr>
          <w:rFonts w:asciiTheme="minorHAnsi" w:hAnsiTheme="minorHAnsi" w:cstheme="minorHAnsi"/>
          <w:color w:val="58595B"/>
        </w:rPr>
        <w:t>1</w:t>
      </w:r>
      <w:r w:rsidRPr="0017149B">
        <w:rPr>
          <w:rFonts w:asciiTheme="minorHAnsi" w:hAnsiTheme="minorHAnsi" w:cstheme="minorHAnsi"/>
          <w:color w:val="58595B"/>
        </w:rPr>
        <w:t xml:space="preserve"> East Cary Street, Suite </w:t>
      </w:r>
      <w:r w:rsidR="00BB7912" w:rsidRPr="0017149B">
        <w:rPr>
          <w:rFonts w:asciiTheme="minorHAnsi" w:hAnsiTheme="minorHAnsi" w:cstheme="minorHAnsi"/>
          <w:color w:val="58595B"/>
        </w:rPr>
        <w:t>702</w:t>
      </w:r>
      <w:r w:rsidRPr="0017149B">
        <w:rPr>
          <w:rFonts w:asciiTheme="minorHAnsi" w:hAnsiTheme="minorHAnsi" w:cstheme="minorHAnsi"/>
          <w:color w:val="58595B"/>
        </w:rPr>
        <w:t xml:space="preserve"> | </w:t>
      </w:r>
      <w:r w:rsidRPr="0017149B">
        <w:rPr>
          <w:rFonts w:asciiTheme="minorHAnsi" w:hAnsiTheme="minorHAnsi" w:cstheme="minorHAnsi"/>
          <w:color w:val="58595B"/>
          <w:spacing w:val="-1"/>
        </w:rPr>
        <w:t>RICHMOND,</w:t>
      </w:r>
      <w:r w:rsidRPr="0017149B">
        <w:rPr>
          <w:rFonts w:asciiTheme="minorHAnsi" w:hAnsiTheme="minorHAnsi" w:cstheme="minorHAnsi"/>
          <w:color w:val="58595B"/>
        </w:rPr>
        <w:t xml:space="preserve"> </w:t>
      </w:r>
      <w:r w:rsidRPr="0017149B">
        <w:rPr>
          <w:rFonts w:asciiTheme="minorHAnsi" w:hAnsiTheme="minorHAnsi" w:cstheme="minorHAnsi"/>
          <w:color w:val="58595B"/>
          <w:spacing w:val="-6"/>
        </w:rPr>
        <w:t>VA</w:t>
      </w:r>
      <w:r w:rsidRPr="0017149B">
        <w:rPr>
          <w:rFonts w:asciiTheme="minorHAnsi" w:hAnsiTheme="minorHAnsi" w:cstheme="minorHAnsi"/>
          <w:color w:val="58595B"/>
        </w:rPr>
        <w:t xml:space="preserve"> 23219 | </w:t>
      </w:r>
      <w:r w:rsidRPr="0017149B">
        <w:rPr>
          <w:rFonts w:asciiTheme="minorHAnsi" w:hAnsiTheme="minorHAnsi" w:cstheme="minorHAnsi"/>
          <w:color w:val="58595B"/>
          <w:spacing w:val="-1"/>
        </w:rPr>
        <w:t>804.644.4711</w:t>
      </w:r>
    </w:p>
    <w:p w14:paraId="498CF9B2" w14:textId="79587C41" w:rsidR="00310271" w:rsidRPr="0017149B" w:rsidRDefault="00486DA1" w:rsidP="00BF0243">
      <w:pPr>
        <w:pStyle w:val="BodyText"/>
        <w:ind w:left="0"/>
        <w:jc w:val="center"/>
        <w:rPr>
          <w:rFonts w:asciiTheme="minorHAnsi" w:eastAsia="Proxima Nova Rg" w:hAnsiTheme="minorHAnsi" w:cstheme="minorHAnsi"/>
          <w:color w:val="58595B"/>
        </w:rPr>
      </w:pPr>
      <w:r w:rsidRPr="0017149B">
        <w:rPr>
          <w:rFonts w:asciiTheme="minorHAnsi" w:eastAsia="Proxima Nova Rg" w:hAnsiTheme="minorHAnsi" w:cstheme="minorHAnsi"/>
          <w:caps/>
          <w:color w:val="58595B"/>
        </w:rPr>
        <w:t>Wealthcare</w:t>
      </w:r>
      <w:r w:rsidR="005B6E90" w:rsidRPr="0017149B">
        <w:rPr>
          <w:rFonts w:asciiTheme="minorHAnsi" w:eastAsia="Proxima Nova Rg" w:hAnsiTheme="minorHAnsi" w:cstheme="minorHAnsi"/>
          <w:caps/>
          <w:color w:val="58595B"/>
        </w:rPr>
        <w:t>GDX</w:t>
      </w:r>
      <w:r w:rsidRPr="0017149B">
        <w:rPr>
          <w:rFonts w:asciiTheme="minorHAnsi" w:eastAsia="Proxima Nova Rg" w:hAnsiTheme="minorHAnsi" w:cstheme="minorHAnsi"/>
          <w:caps/>
          <w:color w:val="58595B"/>
        </w:rPr>
        <w:t>.com</w:t>
      </w:r>
    </w:p>
    <w:sectPr w:rsidR="00310271" w:rsidRPr="0017149B" w:rsidSect="00305BFE">
      <w:headerReference w:type="even" r:id="rId25"/>
      <w:headerReference w:type="default" r:id="rId26"/>
      <w:footerReference w:type="default" r:id="rId27"/>
      <w:headerReference w:type="first" r:id="rId28"/>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5F25B" w14:textId="77777777" w:rsidR="00522EA8" w:rsidRDefault="00522EA8">
      <w:r>
        <w:separator/>
      </w:r>
    </w:p>
  </w:endnote>
  <w:endnote w:type="continuationSeparator" w:id="0">
    <w:p w14:paraId="135447B6" w14:textId="77777777" w:rsidR="00522EA8" w:rsidRDefault="00522EA8">
      <w:r>
        <w:continuationSeparator/>
      </w:r>
    </w:p>
  </w:endnote>
  <w:endnote w:type="continuationNotice" w:id="1">
    <w:p w14:paraId="46C5866D" w14:textId="77777777" w:rsidR="00522EA8" w:rsidRDefault="00522E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4EA91" w14:textId="77777777" w:rsidR="00522EA8" w:rsidRDefault="00522EA8">
      <w:r>
        <w:separator/>
      </w:r>
    </w:p>
  </w:footnote>
  <w:footnote w:type="continuationSeparator" w:id="0">
    <w:p w14:paraId="5F66643E" w14:textId="77777777" w:rsidR="00522EA8" w:rsidRDefault="00522EA8">
      <w:r>
        <w:continuationSeparator/>
      </w:r>
    </w:p>
  </w:footnote>
  <w:footnote w:type="continuationNotice" w:id="1">
    <w:p w14:paraId="56FE3639" w14:textId="77777777" w:rsidR="00522EA8" w:rsidRDefault="00522E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NqgFAFiy/+UtAAAA"/>
  </w:docVars>
  <w:rsids>
    <w:rsidRoot w:val="00310271"/>
    <w:rsid w:val="000036B2"/>
    <w:rsid w:val="000146B5"/>
    <w:rsid w:val="00025049"/>
    <w:rsid w:val="000251DB"/>
    <w:rsid w:val="00026505"/>
    <w:rsid w:val="00027D08"/>
    <w:rsid w:val="00040C3C"/>
    <w:rsid w:val="000536AB"/>
    <w:rsid w:val="0006031A"/>
    <w:rsid w:val="00060559"/>
    <w:rsid w:val="00060862"/>
    <w:rsid w:val="000719FE"/>
    <w:rsid w:val="00074E6F"/>
    <w:rsid w:val="00075B30"/>
    <w:rsid w:val="000762FC"/>
    <w:rsid w:val="00081994"/>
    <w:rsid w:val="00085051"/>
    <w:rsid w:val="00085537"/>
    <w:rsid w:val="00095231"/>
    <w:rsid w:val="000A2F3C"/>
    <w:rsid w:val="000A693A"/>
    <w:rsid w:val="000C1420"/>
    <w:rsid w:val="000C2111"/>
    <w:rsid w:val="000C4725"/>
    <w:rsid w:val="000C77BD"/>
    <w:rsid w:val="000D2FFB"/>
    <w:rsid w:val="000D3EB7"/>
    <w:rsid w:val="000E6258"/>
    <w:rsid w:val="000E6D97"/>
    <w:rsid w:val="000F3D40"/>
    <w:rsid w:val="000F7EFA"/>
    <w:rsid w:val="001014AE"/>
    <w:rsid w:val="00105280"/>
    <w:rsid w:val="00105411"/>
    <w:rsid w:val="00113BE6"/>
    <w:rsid w:val="0011558E"/>
    <w:rsid w:val="00116740"/>
    <w:rsid w:val="00120010"/>
    <w:rsid w:val="001217A4"/>
    <w:rsid w:val="0012269E"/>
    <w:rsid w:val="00123D97"/>
    <w:rsid w:val="00132058"/>
    <w:rsid w:val="001320EA"/>
    <w:rsid w:val="00140E81"/>
    <w:rsid w:val="00141D14"/>
    <w:rsid w:val="001532A5"/>
    <w:rsid w:val="001534A4"/>
    <w:rsid w:val="001537A4"/>
    <w:rsid w:val="00153F4A"/>
    <w:rsid w:val="00161B54"/>
    <w:rsid w:val="00162118"/>
    <w:rsid w:val="0017149B"/>
    <w:rsid w:val="001744D6"/>
    <w:rsid w:val="0018292B"/>
    <w:rsid w:val="00183C38"/>
    <w:rsid w:val="001929E9"/>
    <w:rsid w:val="00194883"/>
    <w:rsid w:val="001A407F"/>
    <w:rsid w:val="001A5AE0"/>
    <w:rsid w:val="001C0EE6"/>
    <w:rsid w:val="001C4696"/>
    <w:rsid w:val="001C50E7"/>
    <w:rsid w:val="001D1332"/>
    <w:rsid w:val="001D359E"/>
    <w:rsid w:val="001D37EA"/>
    <w:rsid w:val="001E031D"/>
    <w:rsid w:val="001E1889"/>
    <w:rsid w:val="001E3219"/>
    <w:rsid w:val="001E5301"/>
    <w:rsid w:val="001F05F8"/>
    <w:rsid w:val="001F519C"/>
    <w:rsid w:val="002043A1"/>
    <w:rsid w:val="00206D28"/>
    <w:rsid w:val="00211CF4"/>
    <w:rsid w:val="00213FC5"/>
    <w:rsid w:val="002161F9"/>
    <w:rsid w:val="00220A5E"/>
    <w:rsid w:val="00223068"/>
    <w:rsid w:val="0023185E"/>
    <w:rsid w:val="002320E6"/>
    <w:rsid w:val="00234D23"/>
    <w:rsid w:val="00245C49"/>
    <w:rsid w:val="0024623E"/>
    <w:rsid w:val="00247F2D"/>
    <w:rsid w:val="00252CCC"/>
    <w:rsid w:val="00256B28"/>
    <w:rsid w:val="002640B5"/>
    <w:rsid w:val="00271D59"/>
    <w:rsid w:val="00276A7C"/>
    <w:rsid w:val="00286212"/>
    <w:rsid w:val="0029529F"/>
    <w:rsid w:val="002A38CA"/>
    <w:rsid w:val="002B07E7"/>
    <w:rsid w:val="002B3E10"/>
    <w:rsid w:val="002C3302"/>
    <w:rsid w:val="002C648F"/>
    <w:rsid w:val="002D2361"/>
    <w:rsid w:val="002E3928"/>
    <w:rsid w:val="002F2A80"/>
    <w:rsid w:val="002F7E04"/>
    <w:rsid w:val="00300681"/>
    <w:rsid w:val="003044A4"/>
    <w:rsid w:val="003047D1"/>
    <w:rsid w:val="0030559E"/>
    <w:rsid w:val="00305BFE"/>
    <w:rsid w:val="00310271"/>
    <w:rsid w:val="0031043D"/>
    <w:rsid w:val="0032586A"/>
    <w:rsid w:val="00326B55"/>
    <w:rsid w:val="003320FC"/>
    <w:rsid w:val="00351C1E"/>
    <w:rsid w:val="003524EF"/>
    <w:rsid w:val="00366F01"/>
    <w:rsid w:val="00373420"/>
    <w:rsid w:val="003737D4"/>
    <w:rsid w:val="003739E6"/>
    <w:rsid w:val="00374837"/>
    <w:rsid w:val="00377EE1"/>
    <w:rsid w:val="0038183B"/>
    <w:rsid w:val="00384380"/>
    <w:rsid w:val="003958D3"/>
    <w:rsid w:val="00396F47"/>
    <w:rsid w:val="003A021A"/>
    <w:rsid w:val="003A7A3C"/>
    <w:rsid w:val="003B6D62"/>
    <w:rsid w:val="003B727B"/>
    <w:rsid w:val="003B730E"/>
    <w:rsid w:val="003B7896"/>
    <w:rsid w:val="003C70C1"/>
    <w:rsid w:val="003C7B91"/>
    <w:rsid w:val="003D725D"/>
    <w:rsid w:val="003E2206"/>
    <w:rsid w:val="003F0914"/>
    <w:rsid w:val="00400BA3"/>
    <w:rsid w:val="00401EB9"/>
    <w:rsid w:val="00420166"/>
    <w:rsid w:val="004235CF"/>
    <w:rsid w:val="004325CE"/>
    <w:rsid w:val="00435035"/>
    <w:rsid w:val="004363E3"/>
    <w:rsid w:val="00437778"/>
    <w:rsid w:val="00440FCC"/>
    <w:rsid w:val="00445FF9"/>
    <w:rsid w:val="004529C8"/>
    <w:rsid w:val="004575D4"/>
    <w:rsid w:val="00457719"/>
    <w:rsid w:val="00457A04"/>
    <w:rsid w:val="00461CDD"/>
    <w:rsid w:val="00462BDA"/>
    <w:rsid w:val="004631A2"/>
    <w:rsid w:val="00465232"/>
    <w:rsid w:val="00465AA5"/>
    <w:rsid w:val="004678CD"/>
    <w:rsid w:val="00482D9C"/>
    <w:rsid w:val="0048612C"/>
    <w:rsid w:val="00486DA1"/>
    <w:rsid w:val="00494E1B"/>
    <w:rsid w:val="00495C93"/>
    <w:rsid w:val="00496DD2"/>
    <w:rsid w:val="00497869"/>
    <w:rsid w:val="004A0254"/>
    <w:rsid w:val="004A04FD"/>
    <w:rsid w:val="004A0EF4"/>
    <w:rsid w:val="004A20B9"/>
    <w:rsid w:val="004A22AB"/>
    <w:rsid w:val="004A5042"/>
    <w:rsid w:val="004B7F15"/>
    <w:rsid w:val="004C00AC"/>
    <w:rsid w:val="004D528B"/>
    <w:rsid w:val="004D7659"/>
    <w:rsid w:val="004E2D55"/>
    <w:rsid w:val="004E2DF5"/>
    <w:rsid w:val="004E43EA"/>
    <w:rsid w:val="004F22CF"/>
    <w:rsid w:val="004F6419"/>
    <w:rsid w:val="004F6634"/>
    <w:rsid w:val="004F7BE0"/>
    <w:rsid w:val="00504E65"/>
    <w:rsid w:val="00512247"/>
    <w:rsid w:val="00513DD7"/>
    <w:rsid w:val="00522EA8"/>
    <w:rsid w:val="0052404F"/>
    <w:rsid w:val="0052429D"/>
    <w:rsid w:val="00524C3C"/>
    <w:rsid w:val="00545C4C"/>
    <w:rsid w:val="0054686C"/>
    <w:rsid w:val="00546F98"/>
    <w:rsid w:val="00552197"/>
    <w:rsid w:val="005537A6"/>
    <w:rsid w:val="005544FD"/>
    <w:rsid w:val="00555404"/>
    <w:rsid w:val="00556280"/>
    <w:rsid w:val="005625F5"/>
    <w:rsid w:val="00562D7C"/>
    <w:rsid w:val="00570973"/>
    <w:rsid w:val="0057380B"/>
    <w:rsid w:val="00584BAA"/>
    <w:rsid w:val="00593C4C"/>
    <w:rsid w:val="00597589"/>
    <w:rsid w:val="005A25DD"/>
    <w:rsid w:val="005A2D15"/>
    <w:rsid w:val="005A503A"/>
    <w:rsid w:val="005B0F37"/>
    <w:rsid w:val="005B2B32"/>
    <w:rsid w:val="005B6E90"/>
    <w:rsid w:val="005C015E"/>
    <w:rsid w:val="005C2D7B"/>
    <w:rsid w:val="005C33A3"/>
    <w:rsid w:val="005D075C"/>
    <w:rsid w:val="005D0D11"/>
    <w:rsid w:val="005D7902"/>
    <w:rsid w:val="005E0EB9"/>
    <w:rsid w:val="005E2E0D"/>
    <w:rsid w:val="005E4B02"/>
    <w:rsid w:val="00602F86"/>
    <w:rsid w:val="00606E96"/>
    <w:rsid w:val="00615328"/>
    <w:rsid w:val="00615D4E"/>
    <w:rsid w:val="00621409"/>
    <w:rsid w:val="0062491C"/>
    <w:rsid w:val="006256A2"/>
    <w:rsid w:val="00627D1B"/>
    <w:rsid w:val="00632E73"/>
    <w:rsid w:val="00637143"/>
    <w:rsid w:val="00647D86"/>
    <w:rsid w:val="00651250"/>
    <w:rsid w:val="00652AF4"/>
    <w:rsid w:val="00653D3B"/>
    <w:rsid w:val="006549DF"/>
    <w:rsid w:val="0065534E"/>
    <w:rsid w:val="00656A11"/>
    <w:rsid w:val="00660116"/>
    <w:rsid w:val="0066125D"/>
    <w:rsid w:val="00661EC6"/>
    <w:rsid w:val="00666482"/>
    <w:rsid w:val="00681E99"/>
    <w:rsid w:val="0068201F"/>
    <w:rsid w:val="00682DD2"/>
    <w:rsid w:val="00686641"/>
    <w:rsid w:val="006918CC"/>
    <w:rsid w:val="006B76C3"/>
    <w:rsid w:val="006D0717"/>
    <w:rsid w:val="006D3705"/>
    <w:rsid w:val="006E1C96"/>
    <w:rsid w:val="006E51E1"/>
    <w:rsid w:val="006E5CA8"/>
    <w:rsid w:val="006F3418"/>
    <w:rsid w:val="006F7759"/>
    <w:rsid w:val="00701959"/>
    <w:rsid w:val="00703612"/>
    <w:rsid w:val="00703E18"/>
    <w:rsid w:val="007043AD"/>
    <w:rsid w:val="00705DD5"/>
    <w:rsid w:val="007134F0"/>
    <w:rsid w:val="007156EF"/>
    <w:rsid w:val="007171FE"/>
    <w:rsid w:val="00717379"/>
    <w:rsid w:val="00717514"/>
    <w:rsid w:val="007178A5"/>
    <w:rsid w:val="00721D5E"/>
    <w:rsid w:val="00723E52"/>
    <w:rsid w:val="00726E85"/>
    <w:rsid w:val="00731AF3"/>
    <w:rsid w:val="00740AC7"/>
    <w:rsid w:val="007412E9"/>
    <w:rsid w:val="007500D2"/>
    <w:rsid w:val="00750961"/>
    <w:rsid w:val="00750FD6"/>
    <w:rsid w:val="0075254C"/>
    <w:rsid w:val="007537D7"/>
    <w:rsid w:val="00755010"/>
    <w:rsid w:val="007623A0"/>
    <w:rsid w:val="007638EA"/>
    <w:rsid w:val="00763EF4"/>
    <w:rsid w:val="0076475E"/>
    <w:rsid w:val="00764BD1"/>
    <w:rsid w:val="007677EC"/>
    <w:rsid w:val="00770A5E"/>
    <w:rsid w:val="00790D86"/>
    <w:rsid w:val="007919DD"/>
    <w:rsid w:val="007924FF"/>
    <w:rsid w:val="00794E3F"/>
    <w:rsid w:val="007A0312"/>
    <w:rsid w:val="007A0DA1"/>
    <w:rsid w:val="007A3EC8"/>
    <w:rsid w:val="007A52F8"/>
    <w:rsid w:val="007A6DBD"/>
    <w:rsid w:val="007B59A5"/>
    <w:rsid w:val="007C2D9B"/>
    <w:rsid w:val="007C344D"/>
    <w:rsid w:val="007C4B80"/>
    <w:rsid w:val="007C7524"/>
    <w:rsid w:val="007D450B"/>
    <w:rsid w:val="007D5645"/>
    <w:rsid w:val="007E1511"/>
    <w:rsid w:val="007E4E13"/>
    <w:rsid w:val="007E55DD"/>
    <w:rsid w:val="007F10EF"/>
    <w:rsid w:val="007F669A"/>
    <w:rsid w:val="007F7717"/>
    <w:rsid w:val="008062B1"/>
    <w:rsid w:val="00811543"/>
    <w:rsid w:val="00816C8D"/>
    <w:rsid w:val="00820771"/>
    <w:rsid w:val="0082261D"/>
    <w:rsid w:val="008256B4"/>
    <w:rsid w:val="008259BC"/>
    <w:rsid w:val="00827816"/>
    <w:rsid w:val="00834435"/>
    <w:rsid w:val="00834733"/>
    <w:rsid w:val="00834EB9"/>
    <w:rsid w:val="00837A07"/>
    <w:rsid w:val="008419A8"/>
    <w:rsid w:val="0084270D"/>
    <w:rsid w:val="0084613B"/>
    <w:rsid w:val="00851F21"/>
    <w:rsid w:val="00853A5C"/>
    <w:rsid w:val="008638E1"/>
    <w:rsid w:val="0087185E"/>
    <w:rsid w:val="0087496B"/>
    <w:rsid w:val="00877495"/>
    <w:rsid w:val="00886CF6"/>
    <w:rsid w:val="0089443D"/>
    <w:rsid w:val="008A0ED6"/>
    <w:rsid w:val="008A55C6"/>
    <w:rsid w:val="008B38FF"/>
    <w:rsid w:val="008B6D72"/>
    <w:rsid w:val="008B769E"/>
    <w:rsid w:val="008C0D79"/>
    <w:rsid w:val="008C3985"/>
    <w:rsid w:val="008D35C8"/>
    <w:rsid w:val="008D5D78"/>
    <w:rsid w:val="008D741D"/>
    <w:rsid w:val="008E01C4"/>
    <w:rsid w:val="008E5DE9"/>
    <w:rsid w:val="008F12F3"/>
    <w:rsid w:val="009015F6"/>
    <w:rsid w:val="009110A4"/>
    <w:rsid w:val="00914AFF"/>
    <w:rsid w:val="009176C8"/>
    <w:rsid w:val="009200A3"/>
    <w:rsid w:val="00920389"/>
    <w:rsid w:val="009227B3"/>
    <w:rsid w:val="00922E9D"/>
    <w:rsid w:val="00923A8D"/>
    <w:rsid w:val="0094135E"/>
    <w:rsid w:val="00941B78"/>
    <w:rsid w:val="009421C4"/>
    <w:rsid w:val="0094730E"/>
    <w:rsid w:val="00950001"/>
    <w:rsid w:val="00951B43"/>
    <w:rsid w:val="0095400E"/>
    <w:rsid w:val="00955EBF"/>
    <w:rsid w:val="00957520"/>
    <w:rsid w:val="00962148"/>
    <w:rsid w:val="0096312F"/>
    <w:rsid w:val="009643B4"/>
    <w:rsid w:val="00965D77"/>
    <w:rsid w:val="00967A7A"/>
    <w:rsid w:val="00972106"/>
    <w:rsid w:val="0097491B"/>
    <w:rsid w:val="009762D3"/>
    <w:rsid w:val="0097697C"/>
    <w:rsid w:val="0098000F"/>
    <w:rsid w:val="00983962"/>
    <w:rsid w:val="00990AEE"/>
    <w:rsid w:val="00995041"/>
    <w:rsid w:val="00997EBD"/>
    <w:rsid w:val="009A37DB"/>
    <w:rsid w:val="009A3DB4"/>
    <w:rsid w:val="009B4976"/>
    <w:rsid w:val="009B4B9D"/>
    <w:rsid w:val="009B54A0"/>
    <w:rsid w:val="009B7188"/>
    <w:rsid w:val="009D0EF3"/>
    <w:rsid w:val="009E274F"/>
    <w:rsid w:val="009F19DF"/>
    <w:rsid w:val="009F70BD"/>
    <w:rsid w:val="00A04C54"/>
    <w:rsid w:val="00A05DEE"/>
    <w:rsid w:val="00A11F92"/>
    <w:rsid w:val="00A22F75"/>
    <w:rsid w:val="00A26AC3"/>
    <w:rsid w:val="00A31B84"/>
    <w:rsid w:val="00A3398B"/>
    <w:rsid w:val="00A37CFE"/>
    <w:rsid w:val="00A621BC"/>
    <w:rsid w:val="00A763E7"/>
    <w:rsid w:val="00A77876"/>
    <w:rsid w:val="00A81377"/>
    <w:rsid w:val="00A87A54"/>
    <w:rsid w:val="00A93393"/>
    <w:rsid w:val="00AA02F6"/>
    <w:rsid w:val="00AA0D57"/>
    <w:rsid w:val="00AB025D"/>
    <w:rsid w:val="00AB1444"/>
    <w:rsid w:val="00AC246F"/>
    <w:rsid w:val="00AC6240"/>
    <w:rsid w:val="00AC7DFF"/>
    <w:rsid w:val="00AD0F1D"/>
    <w:rsid w:val="00AD571B"/>
    <w:rsid w:val="00AD6482"/>
    <w:rsid w:val="00AE4730"/>
    <w:rsid w:val="00AE5933"/>
    <w:rsid w:val="00AF6165"/>
    <w:rsid w:val="00AF73E9"/>
    <w:rsid w:val="00B010F5"/>
    <w:rsid w:val="00B04E79"/>
    <w:rsid w:val="00B1237F"/>
    <w:rsid w:val="00B14A3F"/>
    <w:rsid w:val="00B32982"/>
    <w:rsid w:val="00B412D0"/>
    <w:rsid w:val="00B42635"/>
    <w:rsid w:val="00B43370"/>
    <w:rsid w:val="00B44158"/>
    <w:rsid w:val="00B5439B"/>
    <w:rsid w:val="00B56B09"/>
    <w:rsid w:val="00B57F19"/>
    <w:rsid w:val="00B601FA"/>
    <w:rsid w:val="00B613BE"/>
    <w:rsid w:val="00B64A88"/>
    <w:rsid w:val="00B6575E"/>
    <w:rsid w:val="00B6712C"/>
    <w:rsid w:val="00B73C8D"/>
    <w:rsid w:val="00B82A95"/>
    <w:rsid w:val="00B85C98"/>
    <w:rsid w:val="00B90DA6"/>
    <w:rsid w:val="00B92EE8"/>
    <w:rsid w:val="00B97AFD"/>
    <w:rsid w:val="00BA0C70"/>
    <w:rsid w:val="00BA2CC6"/>
    <w:rsid w:val="00BA2D41"/>
    <w:rsid w:val="00BA5B1A"/>
    <w:rsid w:val="00BB219B"/>
    <w:rsid w:val="00BB5458"/>
    <w:rsid w:val="00BB7912"/>
    <w:rsid w:val="00BC19BA"/>
    <w:rsid w:val="00BC1CC0"/>
    <w:rsid w:val="00BC2C82"/>
    <w:rsid w:val="00BD35A2"/>
    <w:rsid w:val="00BD7275"/>
    <w:rsid w:val="00BE28B7"/>
    <w:rsid w:val="00BE3FE9"/>
    <w:rsid w:val="00BE7FC6"/>
    <w:rsid w:val="00BF0243"/>
    <w:rsid w:val="00BF19D8"/>
    <w:rsid w:val="00BF1AAE"/>
    <w:rsid w:val="00C03FF2"/>
    <w:rsid w:val="00C04E70"/>
    <w:rsid w:val="00C10313"/>
    <w:rsid w:val="00C1181C"/>
    <w:rsid w:val="00C1403A"/>
    <w:rsid w:val="00C14B5D"/>
    <w:rsid w:val="00C16713"/>
    <w:rsid w:val="00C1768F"/>
    <w:rsid w:val="00C20D43"/>
    <w:rsid w:val="00C219B7"/>
    <w:rsid w:val="00C22E7D"/>
    <w:rsid w:val="00C23A23"/>
    <w:rsid w:val="00C24E4A"/>
    <w:rsid w:val="00C338CD"/>
    <w:rsid w:val="00C3645F"/>
    <w:rsid w:val="00C36DFD"/>
    <w:rsid w:val="00C437FE"/>
    <w:rsid w:val="00C46828"/>
    <w:rsid w:val="00C519BC"/>
    <w:rsid w:val="00C54BED"/>
    <w:rsid w:val="00C570E1"/>
    <w:rsid w:val="00C604AF"/>
    <w:rsid w:val="00C64E73"/>
    <w:rsid w:val="00C66249"/>
    <w:rsid w:val="00C77191"/>
    <w:rsid w:val="00C81BA7"/>
    <w:rsid w:val="00C85FF6"/>
    <w:rsid w:val="00CA423F"/>
    <w:rsid w:val="00CB1608"/>
    <w:rsid w:val="00CB3785"/>
    <w:rsid w:val="00CB5069"/>
    <w:rsid w:val="00CC0FDD"/>
    <w:rsid w:val="00CC1528"/>
    <w:rsid w:val="00CC1C61"/>
    <w:rsid w:val="00CC2D02"/>
    <w:rsid w:val="00CC3E4A"/>
    <w:rsid w:val="00CD2641"/>
    <w:rsid w:val="00CD4556"/>
    <w:rsid w:val="00CE1C42"/>
    <w:rsid w:val="00CE2D47"/>
    <w:rsid w:val="00CE39E0"/>
    <w:rsid w:val="00CE7DF2"/>
    <w:rsid w:val="00CF00E3"/>
    <w:rsid w:val="00CF093E"/>
    <w:rsid w:val="00CF1602"/>
    <w:rsid w:val="00CF1B81"/>
    <w:rsid w:val="00CF1BAA"/>
    <w:rsid w:val="00CF34E8"/>
    <w:rsid w:val="00D0261F"/>
    <w:rsid w:val="00D034B7"/>
    <w:rsid w:val="00D05DF5"/>
    <w:rsid w:val="00D14185"/>
    <w:rsid w:val="00D17439"/>
    <w:rsid w:val="00D22917"/>
    <w:rsid w:val="00D26F72"/>
    <w:rsid w:val="00D32EFB"/>
    <w:rsid w:val="00D360C5"/>
    <w:rsid w:val="00D409A8"/>
    <w:rsid w:val="00D42D9A"/>
    <w:rsid w:val="00D50A92"/>
    <w:rsid w:val="00D55D70"/>
    <w:rsid w:val="00D576D7"/>
    <w:rsid w:val="00D6278F"/>
    <w:rsid w:val="00D75448"/>
    <w:rsid w:val="00D821AE"/>
    <w:rsid w:val="00D9009B"/>
    <w:rsid w:val="00D922F6"/>
    <w:rsid w:val="00DA423D"/>
    <w:rsid w:val="00DA667C"/>
    <w:rsid w:val="00DB136E"/>
    <w:rsid w:val="00DB4FE6"/>
    <w:rsid w:val="00DC061F"/>
    <w:rsid w:val="00DC39C5"/>
    <w:rsid w:val="00DC3EF3"/>
    <w:rsid w:val="00DC493E"/>
    <w:rsid w:val="00DC63C0"/>
    <w:rsid w:val="00DD748D"/>
    <w:rsid w:val="00DE2617"/>
    <w:rsid w:val="00DE3290"/>
    <w:rsid w:val="00DE4686"/>
    <w:rsid w:val="00DF1E02"/>
    <w:rsid w:val="00DF5D78"/>
    <w:rsid w:val="00DF6C35"/>
    <w:rsid w:val="00DF6CCB"/>
    <w:rsid w:val="00E0109B"/>
    <w:rsid w:val="00E13977"/>
    <w:rsid w:val="00E158C0"/>
    <w:rsid w:val="00E15CC8"/>
    <w:rsid w:val="00E17B6F"/>
    <w:rsid w:val="00E22E74"/>
    <w:rsid w:val="00E249E2"/>
    <w:rsid w:val="00E25950"/>
    <w:rsid w:val="00E4127A"/>
    <w:rsid w:val="00E42C8D"/>
    <w:rsid w:val="00E463D4"/>
    <w:rsid w:val="00E50BC4"/>
    <w:rsid w:val="00E54EC0"/>
    <w:rsid w:val="00E73B5F"/>
    <w:rsid w:val="00E761F7"/>
    <w:rsid w:val="00E829DC"/>
    <w:rsid w:val="00E83506"/>
    <w:rsid w:val="00E85CF7"/>
    <w:rsid w:val="00E90502"/>
    <w:rsid w:val="00EA0CB3"/>
    <w:rsid w:val="00EA1E0B"/>
    <w:rsid w:val="00EA5F56"/>
    <w:rsid w:val="00EA7B9E"/>
    <w:rsid w:val="00EC2992"/>
    <w:rsid w:val="00EC3E2E"/>
    <w:rsid w:val="00ED44E6"/>
    <w:rsid w:val="00ED749C"/>
    <w:rsid w:val="00EE0FB7"/>
    <w:rsid w:val="00EE188E"/>
    <w:rsid w:val="00EE3523"/>
    <w:rsid w:val="00EE69AF"/>
    <w:rsid w:val="00EE6D91"/>
    <w:rsid w:val="00EF421D"/>
    <w:rsid w:val="00EF4FDE"/>
    <w:rsid w:val="00F201A1"/>
    <w:rsid w:val="00F236B2"/>
    <w:rsid w:val="00F25A3F"/>
    <w:rsid w:val="00F27917"/>
    <w:rsid w:val="00F3241A"/>
    <w:rsid w:val="00F33A78"/>
    <w:rsid w:val="00F33E81"/>
    <w:rsid w:val="00F43692"/>
    <w:rsid w:val="00F44D38"/>
    <w:rsid w:val="00F45C2C"/>
    <w:rsid w:val="00F4795C"/>
    <w:rsid w:val="00F50A50"/>
    <w:rsid w:val="00F50EB0"/>
    <w:rsid w:val="00F51344"/>
    <w:rsid w:val="00F54DC8"/>
    <w:rsid w:val="00F56D0D"/>
    <w:rsid w:val="00F60324"/>
    <w:rsid w:val="00F61203"/>
    <w:rsid w:val="00F641A7"/>
    <w:rsid w:val="00F7205E"/>
    <w:rsid w:val="00F72A72"/>
    <w:rsid w:val="00F77085"/>
    <w:rsid w:val="00F85A28"/>
    <w:rsid w:val="00F91303"/>
    <w:rsid w:val="00F96FDC"/>
    <w:rsid w:val="00F979F9"/>
    <w:rsid w:val="00FA27FD"/>
    <w:rsid w:val="00FA6742"/>
    <w:rsid w:val="00FB2AB6"/>
    <w:rsid w:val="00FB41E4"/>
    <w:rsid w:val="00FB430F"/>
    <w:rsid w:val="00FB63C1"/>
    <w:rsid w:val="00FC125E"/>
    <w:rsid w:val="00FC58C8"/>
    <w:rsid w:val="00FC7BD6"/>
    <w:rsid w:val="00FD5531"/>
    <w:rsid w:val="00FE3147"/>
    <w:rsid w:val="00FF421C"/>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cnn.com/2023/12/21/economy/q3-gdp-third-estimate/index.html"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wsj.com/market-data/quotes/index/SPX/advanced-char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abcnews.go.com/Business/inflation-expected-cooled-november-easing-pressure-fed/story?id=105547151"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cnbc.com/2023/12/13/fed-interest-rate-decision-december-2023.html"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7" ma:contentTypeDescription="Create a new document." ma:contentTypeScope="" ma:versionID="e2feac54abb28b45bce5e22a11b7e91d">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7e57d23bff22e841d3d91476cbfbb19e"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E0362E-2F9B-4F2A-93B6-4DE30EB01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3.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customXml/itemProps4.xml><?xml version="1.0" encoding="utf-8"?>
<ds:datastoreItem xmlns:ds="http://schemas.openxmlformats.org/officeDocument/2006/customXml" ds:itemID="{693F4E3A-1661-403C-BC2D-EE0D155A91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1314</Words>
  <Characters>6834</Characters>
  <Application>Microsoft Office Word</Application>
  <DocSecurity>0</DocSecurity>
  <Lines>151</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5</cp:revision>
  <cp:lastPrinted>2024-01-08T16:39:00Z</cp:lastPrinted>
  <dcterms:created xsi:type="dcterms:W3CDTF">2024-01-08T16:10:00Z</dcterms:created>
  <dcterms:modified xsi:type="dcterms:W3CDTF">2024-01-08T16:40:00Z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