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4EB28A94" w:rsidR="00730139" w:rsidRPr="000A77AA" w:rsidRDefault="00800E3B" w:rsidP="0086174A">
      <w:pPr>
        <w:ind w:firstLine="720"/>
        <w:rPr>
          <w:rFonts w:cstheme="minorHAnsi"/>
          <w:color w:val="58595B"/>
          <w:spacing w:val="-5"/>
          <w:sz w:val="20"/>
          <w:szCs w:val="20"/>
        </w:rPr>
      </w:pPr>
      <w:r>
        <w:rPr>
          <w:rFonts w:cstheme="minorHAnsi"/>
          <w:b/>
          <w:color w:val="005EA4"/>
          <w:sz w:val="28"/>
          <w:szCs w:val="28"/>
        </w:rPr>
        <w:t>Fourth</w:t>
      </w:r>
      <w:r w:rsidR="00D0383A" w:rsidRPr="000A77AA">
        <w:rPr>
          <w:rFonts w:cstheme="minorHAnsi"/>
          <w:b/>
          <w:color w:val="005EA4"/>
          <w:sz w:val="28"/>
          <w:szCs w:val="28"/>
        </w:rPr>
        <w:t xml:space="preserve"> </w:t>
      </w:r>
      <w:r w:rsidR="00353EA1" w:rsidRPr="000A77AA">
        <w:rPr>
          <w:rFonts w:cstheme="minorHAnsi"/>
          <w:b/>
          <w:color w:val="005EA4"/>
          <w:sz w:val="28"/>
          <w:szCs w:val="28"/>
        </w:rPr>
        <w:t>Quarter 202</w:t>
      </w:r>
      <w:r w:rsidR="00E9569D">
        <w:rPr>
          <w:rFonts w:cstheme="minorHAnsi"/>
          <w:b/>
          <w:color w:val="005EA4"/>
          <w:sz w:val="28"/>
          <w:szCs w:val="28"/>
        </w:rPr>
        <w:t>3</w:t>
      </w:r>
      <w:r w:rsidR="00353EA1" w:rsidRPr="000A77AA">
        <w:rPr>
          <w:rFonts w:cstheme="minorHAnsi"/>
          <w:b/>
          <w:color w:val="005EA4"/>
          <w:sz w:val="28"/>
          <w:szCs w:val="28"/>
        </w:rPr>
        <w:t xml:space="preserve"> </w:t>
      </w:r>
      <w:r w:rsidR="00004887" w:rsidRPr="000A77AA">
        <w:rPr>
          <w:rFonts w:cstheme="minorHAnsi"/>
          <w:b/>
          <w:color w:val="005EA4"/>
          <w:sz w:val="28"/>
          <w:szCs w:val="28"/>
        </w:rPr>
        <w:t xml:space="preserve">Quarterly </w:t>
      </w:r>
      <w:r w:rsidR="00353EA1" w:rsidRPr="000A77AA">
        <w:rPr>
          <w:rFonts w:cstheme="minorHAnsi"/>
          <w:b/>
          <w:color w:val="005EA4"/>
          <w:sz w:val="28"/>
          <w:szCs w:val="28"/>
        </w:rPr>
        <w:t>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9518B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type w:val="continuous"/>
          <w:pgSz w:w="12240" w:h="15840"/>
          <w:pgMar w:top="0" w:right="0" w:bottom="0" w:left="0" w:header="720" w:footer="720" w:gutter="0"/>
          <w:cols w:space="720"/>
        </w:sectPr>
      </w:pPr>
    </w:p>
    <w:p w14:paraId="20C6C70B" w14:textId="77777777" w:rsidR="00C10EFC" w:rsidRPr="00BD6897" w:rsidRDefault="00C10EFC" w:rsidP="0086174A">
      <w:pPr>
        <w:pStyle w:val="paragraph"/>
        <w:spacing w:before="0" w:beforeAutospacing="0" w:after="0" w:afterAutospacing="0"/>
        <w:textAlignment w:val="baseline"/>
        <w:rPr>
          <w:rStyle w:val="normaltextrun"/>
          <w:rFonts w:ascii="Calibri" w:hAnsi="Calibri" w:cs="Calibri"/>
          <w:color w:val="808080" w:themeColor="background1" w:themeShade="80"/>
          <w:sz w:val="22"/>
          <w:szCs w:val="22"/>
        </w:rPr>
      </w:pPr>
    </w:p>
    <w:p w14:paraId="330CB556" w14:textId="25EB943C" w:rsidR="00E90C9F" w:rsidRPr="00B07EDC" w:rsidRDefault="00E90C9F" w:rsidP="00E90C9F">
      <w:pPr>
        <w:spacing w:before="100" w:beforeAutospacing="1" w:after="100" w:afterAutospacing="1"/>
        <w:rPr>
          <w:color w:val="58595B"/>
        </w:rPr>
      </w:pPr>
      <w:r w:rsidRPr="00B07EDC">
        <w:rPr>
          <w:noProof/>
          <w:color w:val="58595B"/>
        </w:rPr>
        <mc:AlternateContent>
          <mc:Choice Requires="wps">
            <w:drawing>
              <wp:anchor distT="0" distB="0" distL="114300" distR="114300" simplePos="0" relativeHeight="251665408" behindDoc="0" locked="0" layoutInCell="1" allowOverlap="1" wp14:anchorId="50AE4CC2" wp14:editId="49C37C67">
                <wp:simplePos x="0" y="0"/>
                <wp:positionH relativeFrom="margin">
                  <wp:posOffset>4210050</wp:posOffset>
                </wp:positionH>
                <wp:positionV relativeFrom="paragraph">
                  <wp:posOffset>146050</wp:posOffset>
                </wp:positionV>
                <wp:extent cx="3095625" cy="2990850"/>
                <wp:effectExtent l="0" t="0" r="28575" b="19050"/>
                <wp:wrapSquare wrapText="bothSides"/>
                <wp:docPr id="806084456" name="Text Box 1"/>
                <wp:cNvGraphicFramePr/>
                <a:graphic xmlns:a="http://schemas.openxmlformats.org/drawingml/2006/main">
                  <a:graphicData uri="http://schemas.microsoft.com/office/word/2010/wordprocessingShape">
                    <wps:wsp>
                      <wps:cNvSpPr txBox="1"/>
                      <wps:spPr>
                        <a:xfrm>
                          <a:off x="0" y="0"/>
                          <a:ext cx="3095625" cy="2990850"/>
                        </a:xfrm>
                        <a:prstGeom prst="rect">
                          <a:avLst/>
                        </a:prstGeom>
                        <a:solidFill>
                          <a:sysClr val="window" lastClr="FFFFFF"/>
                        </a:solidFill>
                        <a:ln w="6350">
                          <a:solidFill>
                            <a:prstClr val="black"/>
                          </a:solidFill>
                        </a:ln>
                      </wps:spPr>
                      <wps:txbx>
                        <w:txbxContent>
                          <w:p w14:paraId="486B5F74" w14:textId="77777777" w:rsidR="00E90C9F" w:rsidRPr="003B3D5C" w:rsidRDefault="00E90C9F" w:rsidP="00E90C9F">
                            <w:pPr>
                              <w:jc w:val="center"/>
                              <w:rPr>
                                <w:b/>
                                <w:bCs/>
                                <w:sz w:val="20"/>
                                <w:szCs w:val="20"/>
                              </w:rPr>
                            </w:pPr>
                            <w:r w:rsidRPr="003B3D5C">
                              <w:rPr>
                                <w:b/>
                                <w:bCs/>
                                <w:sz w:val="20"/>
                                <w:szCs w:val="20"/>
                              </w:rPr>
                              <w:t>NEW YEARS RESOLUTION SURVEY</w:t>
                            </w:r>
                          </w:p>
                          <w:p w14:paraId="5A39C473" w14:textId="77777777" w:rsidR="00E90C9F" w:rsidRDefault="00E90C9F" w:rsidP="00E90C9F">
                            <w:pPr>
                              <w:rPr>
                                <w:sz w:val="20"/>
                                <w:szCs w:val="20"/>
                              </w:rPr>
                            </w:pPr>
                            <w:r>
                              <w:rPr>
                                <w:sz w:val="20"/>
                                <w:szCs w:val="20"/>
                              </w:rPr>
                              <w:t>According to a Forbes’ survey, below are the top 5 New Year’s Resolutions for 2024</w:t>
                            </w:r>
                          </w:p>
                          <w:p w14:paraId="75324B69"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48% resolved to exercise </w:t>
                            </w:r>
                            <w:proofErr w:type="gramStart"/>
                            <w:r w:rsidRPr="002D0228">
                              <w:rPr>
                                <w:sz w:val="20"/>
                                <w:szCs w:val="20"/>
                              </w:rPr>
                              <w:t>more</w:t>
                            </w:r>
                            <w:proofErr w:type="gramEnd"/>
                          </w:p>
                          <w:p w14:paraId="258400F8" w14:textId="77777777" w:rsidR="00E90C9F" w:rsidRPr="002D0228" w:rsidRDefault="00E90C9F" w:rsidP="00E90C9F">
                            <w:pPr>
                              <w:widowControl/>
                              <w:numPr>
                                <w:ilvl w:val="0"/>
                                <w:numId w:val="49"/>
                              </w:numPr>
                              <w:spacing w:after="160"/>
                              <w:ind w:left="630" w:hanging="270"/>
                              <w:rPr>
                                <w:b/>
                                <w:bCs/>
                                <w:i/>
                                <w:iCs/>
                                <w:sz w:val="20"/>
                                <w:szCs w:val="20"/>
                              </w:rPr>
                            </w:pPr>
                            <w:r w:rsidRPr="002D0228">
                              <w:rPr>
                                <w:b/>
                                <w:bCs/>
                                <w:i/>
                                <w:iCs/>
                                <w:sz w:val="20"/>
                                <w:szCs w:val="20"/>
                              </w:rPr>
                              <w:t xml:space="preserve">38% resolved to improve </w:t>
                            </w:r>
                            <w:proofErr w:type="gramStart"/>
                            <w:r w:rsidRPr="002D0228">
                              <w:rPr>
                                <w:b/>
                                <w:bCs/>
                                <w:i/>
                                <w:iCs/>
                                <w:sz w:val="20"/>
                                <w:szCs w:val="20"/>
                              </w:rPr>
                              <w:t>finances</w:t>
                            </w:r>
                            <w:proofErr w:type="gramEnd"/>
                          </w:p>
                          <w:p w14:paraId="5425ED74"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36% resolved to improve their mental </w:t>
                            </w:r>
                            <w:proofErr w:type="gramStart"/>
                            <w:r w:rsidRPr="002D0228">
                              <w:rPr>
                                <w:sz w:val="20"/>
                                <w:szCs w:val="20"/>
                              </w:rPr>
                              <w:t>health</w:t>
                            </w:r>
                            <w:proofErr w:type="gramEnd"/>
                          </w:p>
                          <w:p w14:paraId="4E13604B"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34% resolved to lose </w:t>
                            </w:r>
                            <w:proofErr w:type="gramStart"/>
                            <w:r w:rsidRPr="002D0228">
                              <w:rPr>
                                <w:sz w:val="20"/>
                                <w:szCs w:val="20"/>
                              </w:rPr>
                              <w:t>weight</w:t>
                            </w:r>
                            <w:proofErr w:type="gramEnd"/>
                          </w:p>
                          <w:p w14:paraId="5861FF53"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32% resolved to eat </w:t>
                            </w:r>
                            <w:proofErr w:type="gramStart"/>
                            <w:r w:rsidRPr="002D0228">
                              <w:rPr>
                                <w:sz w:val="20"/>
                                <w:szCs w:val="20"/>
                              </w:rPr>
                              <w:t>healthier</w:t>
                            </w:r>
                            <w:proofErr w:type="gramEnd"/>
                          </w:p>
                          <w:p w14:paraId="428D0A70" w14:textId="77777777" w:rsidR="00E90C9F" w:rsidRDefault="00E90C9F" w:rsidP="00E90C9F">
                            <w:r w:rsidRPr="00CF1833">
                              <w:rPr>
                                <w:sz w:val="20"/>
                                <w:szCs w:val="20"/>
                              </w:rPr>
                              <w:t xml:space="preserve">The miracle weight loss </w:t>
                            </w:r>
                            <w:r>
                              <w:rPr>
                                <w:sz w:val="20"/>
                                <w:szCs w:val="20"/>
                              </w:rPr>
                              <w:t xml:space="preserve">drugs Galloway referenced </w:t>
                            </w:r>
                            <w:r w:rsidRPr="00CF1833">
                              <w:rPr>
                                <w:sz w:val="20"/>
                                <w:szCs w:val="20"/>
                              </w:rPr>
                              <w:t>may help us</w:t>
                            </w:r>
                            <w:r>
                              <w:rPr>
                                <w:sz w:val="20"/>
                                <w:szCs w:val="20"/>
                              </w:rPr>
                              <w:t xml:space="preserve"> conquer two of the above resolutions - </w:t>
                            </w:r>
                            <w:r w:rsidRPr="00CF1833">
                              <w:rPr>
                                <w:sz w:val="20"/>
                                <w:szCs w:val="20"/>
                              </w:rPr>
                              <w:t>lose weight and eat healthier. These drugs have also been found to improve cardiovascular health as well as reduce craving</w:t>
                            </w:r>
                            <w:r>
                              <w:rPr>
                                <w:sz w:val="20"/>
                                <w:szCs w:val="20"/>
                              </w:rPr>
                              <w:t xml:space="preserve">s for </w:t>
                            </w:r>
                            <w:r w:rsidRPr="00CF1833">
                              <w:rPr>
                                <w:sz w:val="20"/>
                                <w:szCs w:val="20"/>
                              </w:rPr>
                              <w:t>ev</w:t>
                            </w:r>
                            <w:r>
                              <w:rPr>
                                <w:sz w:val="20"/>
                                <w:szCs w:val="20"/>
                              </w:rPr>
                              <w:t>e</w:t>
                            </w:r>
                            <w:r w:rsidRPr="00CF1833">
                              <w:rPr>
                                <w:sz w:val="20"/>
                                <w:szCs w:val="20"/>
                              </w:rPr>
                              <w:t>ry</w:t>
                            </w:r>
                            <w:r>
                              <w:rPr>
                                <w:sz w:val="20"/>
                                <w:szCs w:val="20"/>
                              </w:rPr>
                              <w:t>th</w:t>
                            </w:r>
                            <w:r w:rsidRPr="00CF1833">
                              <w:rPr>
                                <w:sz w:val="20"/>
                                <w:szCs w:val="20"/>
                              </w:rPr>
                              <w:t>ing ran</w:t>
                            </w:r>
                            <w:r>
                              <w:rPr>
                                <w:sz w:val="20"/>
                                <w:szCs w:val="20"/>
                              </w:rPr>
                              <w:t>g</w:t>
                            </w:r>
                            <w:r w:rsidRPr="00CF1833">
                              <w:rPr>
                                <w:sz w:val="20"/>
                                <w:szCs w:val="20"/>
                              </w:rPr>
                              <w:t xml:space="preserve">ing from biting our nails to gambling. </w:t>
                            </w:r>
                            <w:r>
                              <w:rPr>
                                <w:sz w:val="20"/>
                                <w:szCs w:val="20"/>
                              </w:rPr>
                              <w:t>I</w:t>
                            </w:r>
                            <w:r w:rsidRPr="000D5BA2">
                              <w:rPr>
                                <w:sz w:val="20"/>
                                <w:szCs w:val="20"/>
                              </w:rPr>
                              <w:t>mproving finances climbed two spots from the start of 2023 from #4 to #2.</w:t>
                            </w:r>
                            <w:r w:rsidRPr="00037CB0">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E4CC2" id="Text Box 1" o:spid="_x0000_s1028" type="#_x0000_t202" style="position:absolute;margin-left:331.5pt;margin-top:11.5pt;width:243.75pt;height:2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" fillcolor="window" strokeweight=".5pt">
                <v:textbox>
                  <w:txbxContent>
                    <w:p w14:paraId="486B5F74" w14:textId="77777777" w:rsidR="00E90C9F" w:rsidRPr="003B3D5C" w:rsidRDefault="00E90C9F" w:rsidP="00E90C9F">
                      <w:pPr>
                        <w:jc w:val="center"/>
                        <w:rPr>
                          <w:b/>
                          <w:bCs/>
                          <w:sz w:val="20"/>
                          <w:szCs w:val="20"/>
                        </w:rPr>
                      </w:pPr>
                      <w:r w:rsidRPr="003B3D5C">
                        <w:rPr>
                          <w:b/>
                          <w:bCs/>
                          <w:sz w:val="20"/>
                          <w:szCs w:val="20"/>
                        </w:rPr>
                        <w:t>NEW YEARS RESOLUTION SURVEY</w:t>
                      </w:r>
                    </w:p>
                    <w:p w14:paraId="5A39C473" w14:textId="77777777" w:rsidR="00E90C9F" w:rsidRDefault="00E90C9F" w:rsidP="00E90C9F">
                      <w:pPr>
                        <w:rPr>
                          <w:sz w:val="20"/>
                          <w:szCs w:val="20"/>
                        </w:rPr>
                      </w:pPr>
                      <w:r>
                        <w:rPr>
                          <w:sz w:val="20"/>
                          <w:szCs w:val="20"/>
                        </w:rPr>
                        <w:t>According to a Forbes’ survey, below are the top 5 New Year’s Resolutions for 2024</w:t>
                      </w:r>
                    </w:p>
                    <w:p w14:paraId="75324B69"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48% resolved to exercise </w:t>
                      </w:r>
                      <w:proofErr w:type="gramStart"/>
                      <w:r w:rsidRPr="002D0228">
                        <w:rPr>
                          <w:sz w:val="20"/>
                          <w:szCs w:val="20"/>
                        </w:rPr>
                        <w:t>more</w:t>
                      </w:r>
                      <w:proofErr w:type="gramEnd"/>
                    </w:p>
                    <w:p w14:paraId="258400F8" w14:textId="77777777" w:rsidR="00E90C9F" w:rsidRPr="002D0228" w:rsidRDefault="00E90C9F" w:rsidP="00E90C9F">
                      <w:pPr>
                        <w:widowControl/>
                        <w:numPr>
                          <w:ilvl w:val="0"/>
                          <w:numId w:val="49"/>
                        </w:numPr>
                        <w:spacing w:after="160"/>
                        <w:ind w:left="630" w:hanging="270"/>
                        <w:rPr>
                          <w:b/>
                          <w:bCs/>
                          <w:i/>
                          <w:iCs/>
                          <w:sz w:val="20"/>
                          <w:szCs w:val="20"/>
                        </w:rPr>
                      </w:pPr>
                      <w:r w:rsidRPr="002D0228">
                        <w:rPr>
                          <w:b/>
                          <w:bCs/>
                          <w:i/>
                          <w:iCs/>
                          <w:sz w:val="20"/>
                          <w:szCs w:val="20"/>
                        </w:rPr>
                        <w:t xml:space="preserve">38% resolved to improve </w:t>
                      </w:r>
                      <w:proofErr w:type="gramStart"/>
                      <w:r w:rsidRPr="002D0228">
                        <w:rPr>
                          <w:b/>
                          <w:bCs/>
                          <w:i/>
                          <w:iCs/>
                          <w:sz w:val="20"/>
                          <w:szCs w:val="20"/>
                        </w:rPr>
                        <w:t>finances</w:t>
                      </w:r>
                      <w:proofErr w:type="gramEnd"/>
                    </w:p>
                    <w:p w14:paraId="5425ED74"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36% resolved to improve their mental </w:t>
                      </w:r>
                      <w:proofErr w:type="gramStart"/>
                      <w:r w:rsidRPr="002D0228">
                        <w:rPr>
                          <w:sz w:val="20"/>
                          <w:szCs w:val="20"/>
                        </w:rPr>
                        <w:t>health</w:t>
                      </w:r>
                      <w:proofErr w:type="gramEnd"/>
                    </w:p>
                    <w:p w14:paraId="4E13604B"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34% resolved to lose </w:t>
                      </w:r>
                      <w:proofErr w:type="gramStart"/>
                      <w:r w:rsidRPr="002D0228">
                        <w:rPr>
                          <w:sz w:val="20"/>
                          <w:szCs w:val="20"/>
                        </w:rPr>
                        <w:t>weight</w:t>
                      </w:r>
                      <w:proofErr w:type="gramEnd"/>
                    </w:p>
                    <w:p w14:paraId="5861FF53" w14:textId="77777777" w:rsidR="00E90C9F" w:rsidRPr="002D0228" w:rsidRDefault="00E90C9F" w:rsidP="00E90C9F">
                      <w:pPr>
                        <w:widowControl/>
                        <w:numPr>
                          <w:ilvl w:val="0"/>
                          <w:numId w:val="49"/>
                        </w:numPr>
                        <w:spacing w:after="160"/>
                        <w:ind w:left="630" w:hanging="270"/>
                        <w:rPr>
                          <w:sz w:val="20"/>
                          <w:szCs w:val="20"/>
                        </w:rPr>
                      </w:pPr>
                      <w:r w:rsidRPr="002D0228">
                        <w:rPr>
                          <w:sz w:val="20"/>
                          <w:szCs w:val="20"/>
                        </w:rPr>
                        <w:t xml:space="preserve">32% resolved to eat </w:t>
                      </w:r>
                      <w:proofErr w:type="gramStart"/>
                      <w:r w:rsidRPr="002D0228">
                        <w:rPr>
                          <w:sz w:val="20"/>
                          <w:szCs w:val="20"/>
                        </w:rPr>
                        <w:t>healthier</w:t>
                      </w:r>
                      <w:proofErr w:type="gramEnd"/>
                    </w:p>
                    <w:p w14:paraId="428D0A70" w14:textId="77777777" w:rsidR="00E90C9F" w:rsidRDefault="00E90C9F" w:rsidP="00E90C9F">
                      <w:r w:rsidRPr="00CF1833">
                        <w:rPr>
                          <w:sz w:val="20"/>
                          <w:szCs w:val="20"/>
                        </w:rPr>
                        <w:t xml:space="preserve">The miracle weight loss </w:t>
                      </w:r>
                      <w:r>
                        <w:rPr>
                          <w:sz w:val="20"/>
                          <w:szCs w:val="20"/>
                        </w:rPr>
                        <w:t xml:space="preserve">drugs Galloway referenced </w:t>
                      </w:r>
                      <w:r w:rsidRPr="00CF1833">
                        <w:rPr>
                          <w:sz w:val="20"/>
                          <w:szCs w:val="20"/>
                        </w:rPr>
                        <w:t>may help us</w:t>
                      </w:r>
                      <w:r>
                        <w:rPr>
                          <w:sz w:val="20"/>
                          <w:szCs w:val="20"/>
                        </w:rPr>
                        <w:t xml:space="preserve"> conquer two of the above resolutions - </w:t>
                      </w:r>
                      <w:r w:rsidRPr="00CF1833">
                        <w:rPr>
                          <w:sz w:val="20"/>
                          <w:szCs w:val="20"/>
                        </w:rPr>
                        <w:t>lose weight and eat healthier. These drugs have also been found to improve cardiovascular health as well as reduce craving</w:t>
                      </w:r>
                      <w:r>
                        <w:rPr>
                          <w:sz w:val="20"/>
                          <w:szCs w:val="20"/>
                        </w:rPr>
                        <w:t xml:space="preserve">s for </w:t>
                      </w:r>
                      <w:r w:rsidRPr="00CF1833">
                        <w:rPr>
                          <w:sz w:val="20"/>
                          <w:szCs w:val="20"/>
                        </w:rPr>
                        <w:t>ev</w:t>
                      </w:r>
                      <w:r>
                        <w:rPr>
                          <w:sz w:val="20"/>
                          <w:szCs w:val="20"/>
                        </w:rPr>
                        <w:t>e</w:t>
                      </w:r>
                      <w:r w:rsidRPr="00CF1833">
                        <w:rPr>
                          <w:sz w:val="20"/>
                          <w:szCs w:val="20"/>
                        </w:rPr>
                        <w:t>ry</w:t>
                      </w:r>
                      <w:r>
                        <w:rPr>
                          <w:sz w:val="20"/>
                          <w:szCs w:val="20"/>
                        </w:rPr>
                        <w:t>th</w:t>
                      </w:r>
                      <w:r w:rsidRPr="00CF1833">
                        <w:rPr>
                          <w:sz w:val="20"/>
                          <w:szCs w:val="20"/>
                        </w:rPr>
                        <w:t>ing ran</w:t>
                      </w:r>
                      <w:r>
                        <w:rPr>
                          <w:sz w:val="20"/>
                          <w:szCs w:val="20"/>
                        </w:rPr>
                        <w:t>g</w:t>
                      </w:r>
                      <w:r w:rsidRPr="00CF1833">
                        <w:rPr>
                          <w:sz w:val="20"/>
                          <w:szCs w:val="20"/>
                        </w:rPr>
                        <w:t xml:space="preserve">ing from biting our nails to gambling. </w:t>
                      </w:r>
                      <w:r>
                        <w:rPr>
                          <w:sz w:val="20"/>
                          <w:szCs w:val="20"/>
                        </w:rPr>
                        <w:t>I</w:t>
                      </w:r>
                      <w:r w:rsidRPr="000D5BA2">
                        <w:rPr>
                          <w:sz w:val="20"/>
                          <w:szCs w:val="20"/>
                        </w:rPr>
                        <w:t>mproving finances climbed two spots from the start of 2023 from #4 to #2.</w:t>
                      </w:r>
                      <w:r w:rsidRPr="00037CB0">
                        <w:rPr>
                          <w:sz w:val="20"/>
                          <w:szCs w:val="20"/>
                        </w:rPr>
                        <w:t xml:space="preserve"> </w:t>
                      </w:r>
                    </w:p>
                  </w:txbxContent>
                </v:textbox>
                <w10:wrap type="square" anchorx="margin"/>
              </v:shape>
            </w:pict>
          </mc:Fallback>
        </mc:AlternateContent>
      </w:r>
      <w:r w:rsidRPr="00B07EDC">
        <w:rPr>
          <w:color w:val="58595B"/>
        </w:rPr>
        <w:t xml:space="preserve">The end of the year is the time to look back and look ahead. Reflecting on 2023, Scott Galloway, NYU </w:t>
      </w:r>
      <w:proofErr w:type="gramStart"/>
      <w:r w:rsidRPr="00B07EDC">
        <w:rPr>
          <w:color w:val="58595B"/>
        </w:rPr>
        <w:t>Professor</w:t>
      </w:r>
      <w:proofErr w:type="gramEnd"/>
      <w:r w:rsidRPr="00B07EDC">
        <w:rPr>
          <w:color w:val="58595B"/>
        </w:rPr>
        <w:t xml:space="preserve"> and podcaster, proclaimed the biggest business story of the past year was not Taylor Swift</w:t>
      </w:r>
      <w:r w:rsidR="00E41FDB">
        <w:rPr>
          <w:color w:val="58595B"/>
        </w:rPr>
        <w:t>'</w:t>
      </w:r>
      <w:r w:rsidRPr="00B07EDC">
        <w:rPr>
          <w:color w:val="58595B"/>
        </w:rPr>
        <w:t>s Eras tour nor Artificial Intelligence but the advent of blockbuster weight loss drugs (see thumbnail).</w:t>
      </w:r>
    </w:p>
    <w:p w14:paraId="09956C40" w14:textId="77777777" w:rsidR="00E90C9F" w:rsidRPr="00B07EDC" w:rsidRDefault="00E90C9F" w:rsidP="00E90C9F">
      <w:pPr>
        <w:spacing w:before="100" w:beforeAutospacing="1" w:after="100" w:afterAutospacing="1"/>
        <w:rPr>
          <w:color w:val="58595B"/>
        </w:rPr>
      </w:pPr>
      <w:r w:rsidRPr="00B07EDC">
        <w:rPr>
          <w:rStyle w:val="normaltextrun"/>
          <w:rFonts w:ascii="Calibri" w:hAnsi="Calibri" w:cs="Calibri"/>
          <w:color w:val="58595B"/>
          <w:shd w:val="clear" w:color="auto" w:fill="FFFFFF"/>
        </w:rPr>
        <w:t xml:space="preserve">The biggest story of 2023 for the equity markets was the performance of the Magnificent Seven (Facebook, Apple, Microsoft, Nvidia, Tesla, </w:t>
      </w:r>
      <w:proofErr w:type="gramStart"/>
      <w:r w:rsidRPr="00B07EDC">
        <w:rPr>
          <w:rStyle w:val="normaltextrun"/>
          <w:rFonts w:ascii="Calibri" w:hAnsi="Calibri" w:cs="Calibri"/>
          <w:color w:val="58595B"/>
          <w:shd w:val="clear" w:color="auto" w:fill="FFFFFF"/>
        </w:rPr>
        <w:t>Google</w:t>
      </w:r>
      <w:proofErr w:type="gramEnd"/>
      <w:r w:rsidRPr="00B07EDC">
        <w:rPr>
          <w:rStyle w:val="normaltextrun"/>
          <w:rFonts w:ascii="Calibri" w:hAnsi="Calibri" w:cs="Calibri"/>
          <w:color w:val="58595B"/>
          <w:shd w:val="clear" w:color="auto" w:fill="FFFFFF"/>
        </w:rPr>
        <w:t xml:space="preserve"> and Amazon). These seven stocks propelled the S&amp;P 500 to finish the year up 26%, accounting for 78% of the gains. As for bonds, the Bloomberg Aggregate finished the year up 5.5% thanks to a huge rally in the last two months. </w:t>
      </w:r>
      <w:r w:rsidRPr="00B07EDC">
        <w:rPr>
          <w:rStyle w:val="eop"/>
          <w:rFonts w:ascii="Calibri" w:hAnsi="Calibri" w:cs="Calibri"/>
          <w:color w:val="58595B"/>
          <w:shd w:val="clear" w:color="auto" w:fill="FFFFFF"/>
        </w:rPr>
        <w:t> </w:t>
      </w:r>
      <w:r w:rsidRPr="00B07EDC">
        <w:rPr>
          <w:color w:val="58595B"/>
        </w:rPr>
        <w:t xml:space="preserve"> </w:t>
      </w:r>
    </w:p>
    <w:p w14:paraId="44669C15" w14:textId="40B3B5BF" w:rsidR="00E90C9F" w:rsidRPr="00B07EDC" w:rsidRDefault="00E90C9F" w:rsidP="00E90C9F">
      <w:pPr>
        <w:spacing w:before="100" w:beforeAutospacing="1" w:after="100" w:afterAutospacing="1"/>
        <w:rPr>
          <w:color w:val="58595B"/>
        </w:rPr>
      </w:pPr>
      <w:r w:rsidRPr="00B07EDC">
        <w:rPr>
          <w:color w:val="58595B"/>
        </w:rPr>
        <w:t xml:space="preserve">However, there are a lot of questions on investors' minds as we turn the calendar to 2024. Will that recession that has been predicted ever occur? Can the Fed declare </w:t>
      </w:r>
      <w:r w:rsidR="00E41FDB">
        <w:rPr>
          <w:color w:val="58595B"/>
        </w:rPr>
        <w:t>"</w:t>
      </w:r>
      <w:r w:rsidRPr="00B07EDC">
        <w:rPr>
          <w:color w:val="58595B"/>
        </w:rPr>
        <w:t>mission accomplished</w:t>
      </w:r>
      <w:r w:rsidR="00E41FDB">
        <w:rPr>
          <w:color w:val="58595B"/>
        </w:rPr>
        <w:t>"</w:t>
      </w:r>
      <w:r w:rsidRPr="00B07EDC">
        <w:rPr>
          <w:color w:val="58595B"/>
        </w:rPr>
        <w:t xml:space="preserve"> in its battle against inflation? Will the equity markets sustain their momentum? How will budget negotiations, including a possible shutdown, affect the deficit, economic growth, and corporate earnings? Will the Israeli-Hamas metastasize into a wider conflict</w:t>
      </w:r>
      <w:r w:rsidR="00E41FDB">
        <w:rPr>
          <w:color w:val="58595B"/>
        </w:rPr>
        <w:t>,</w:t>
      </w:r>
      <w:r w:rsidRPr="00B07EDC">
        <w:rPr>
          <w:color w:val="58595B"/>
        </w:rPr>
        <w:t xml:space="preserve"> causing supply chains and oil prices to unravel? And</w:t>
      </w:r>
      <w:r w:rsidR="00E41FDB">
        <w:rPr>
          <w:color w:val="58595B"/>
        </w:rPr>
        <w:t>,</w:t>
      </w:r>
      <w:r w:rsidRPr="00B07EDC">
        <w:rPr>
          <w:color w:val="58595B"/>
        </w:rPr>
        <w:t xml:space="preserve"> of course, how will markets react to the looming presidential election?    </w:t>
      </w:r>
    </w:p>
    <w:p w14:paraId="2F7E9A63" w14:textId="2316546E" w:rsidR="00E90C9F" w:rsidRPr="00B07EDC" w:rsidRDefault="00E90C9F" w:rsidP="00E90C9F">
      <w:pPr>
        <w:rPr>
          <w:color w:val="58595B"/>
        </w:rPr>
      </w:pPr>
      <w:r w:rsidRPr="00B07EDC">
        <w:rPr>
          <w:color w:val="58595B"/>
        </w:rPr>
        <w:t>To answer these questions, a plethora of 2024 Year Outlooks are published by virtually every investment bank and asset manager. Are these publications useful in predicting markets</w:t>
      </w:r>
      <w:r w:rsidR="00E41FDB">
        <w:rPr>
          <w:color w:val="58595B"/>
        </w:rPr>
        <w:t>, or are they Trojan Horse marketing predictions that coax us into purchasing</w:t>
      </w:r>
      <w:r w:rsidRPr="00B07EDC">
        <w:rPr>
          <w:color w:val="58595B"/>
        </w:rPr>
        <w:t xml:space="preserve"> investment products? </w:t>
      </w:r>
    </w:p>
    <w:p w14:paraId="26F589C1" w14:textId="77777777" w:rsidR="00E90C9F" w:rsidRPr="00B07EDC" w:rsidRDefault="00E90C9F" w:rsidP="00E90C9F">
      <w:pPr>
        <w:rPr>
          <w:color w:val="58595B"/>
          <w:sz w:val="16"/>
          <w:szCs w:val="16"/>
        </w:rPr>
      </w:pPr>
    </w:p>
    <w:p w14:paraId="34B27706" w14:textId="17E13990" w:rsidR="00E90C9F" w:rsidRPr="00B07EDC" w:rsidRDefault="00E90C9F" w:rsidP="00E90C9F">
      <w:pPr>
        <w:rPr>
          <w:rStyle w:val="css-1qaijid"/>
          <w:color w:val="58595B"/>
        </w:rPr>
      </w:pPr>
      <w:r w:rsidRPr="00B07EDC">
        <w:rPr>
          <w:rStyle w:val="css-1qaijid"/>
          <w:color w:val="58595B"/>
        </w:rPr>
        <w:t>Below is evidence that you don</w:t>
      </w:r>
      <w:r w:rsidR="00E41FDB">
        <w:rPr>
          <w:rStyle w:val="css-1qaijid"/>
          <w:color w:val="58595B"/>
        </w:rPr>
        <w:t>'</w:t>
      </w:r>
      <w:r w:rsidRPr="00B07EDC">
        <w:rPr>
          <w:rStyle w:val="css-1qaijid"/>
          <w:color w:val="58595B"/>
        </w:rPr>
        <w:t xml:space="preserve">t want to base your investment strategy on market forecasters: </w:t>
      </w:r>
    </w:p>
    <w:p w14:paraId="3D8CE6B7" w14:textId="77777777" w:rsidR="00E90C9F" w:rsidRPr="00B07EDC" w:rsidRDefault="00E90C9F" w:rsidP="00E90C9F">
      <w:pPr>
        <w:rPr>
          <w:rStyle w:val="css-1qaijid"/>
          <w:color w:val="58595B"/>
          <w:sz w:val="16"/>
          <w:szCs w:val="16"/>
        </w:rPr>
      </w:pPr>
    </w:p>
    <w:p w14:paraId="617BC389" w14:textId="2AB1BF34" w:rsidR="00E90C9F" w:rsidRPr="00B07EDC" w:rsidRDefault="00E90C9F" w:rsidP="00E90C9F">
      <w:pPr>
        <w:pStyle w:val="ListParagraph"/>
        <w:widowControl/>
        <w:numPr>
          <w:ilvl w:val="0"/>
          <w:numId w:val="49"/>
        </w:numPr>
        <w:spacing w:after="160" w:line="259" w:lineRule="auto"/>
        <w:contextualSpacing/>
        <w:rPr>
          <w:rStyle w:val="css-1qaijid"/>
          <w:color w:val="58595B"/>
        </w:rPr>
      </w:pPr>
      <w:r w:rsidRPr="00B07EDC">
        <w:rPr>
          <w:rStyle w:val="css-1qaijid"/>
          <w:color w:val="58595B"/>
        </w:rPr>
        <w:t>Here</w:t>
      </w:r>
      <w:r w:rsidR="00E41FDB">
        <w:rPr>
          <w:rStyle w:val="css-1qaijid"/>
          <w:color w:val="58595B"/>
        </w:rPr>
        <w:t>'</w:t>
      </w:r>
      <w:r w:rsidRPr="00B07EDC">
        <w:rPr>
          <w:rStyle w:val="css-1qaijid"/>
          <w:color w:val="58595B"/>
        </w:rPr>
        <w:t>s where the sharpest brains on Wall Street predicted the S&amp;P 500 would end 2023 after beginning the year at 3,823</w:t>
      </w:r>
      <w:r w:rsidR="00E41FDB">
        <w:rPr>
          <w:rStyle w:val="css-1qaijid"/>
          <w:color w:val="58595B"/>
        </w:rPr>
        <w:t>,</w:t>
      </w:r>
      <w:r w:rsidRPr="00B07EDC">
        <w:rPr>
          <w:rStyle w:val="css-1qaijid"/>
          <w:color w:val="58595B"/>
        </w:rPr>
        <w:t xml:space="preserve"> along with their projected price return:</w:t>
      </w:r>
    </w:p>
    <w:tbl>
      <w:tblPr>
        <w:tblW w:w="5544" w:type="dxa"/>
        <w:tblInd w:w="2052" w:type="dxa"/>
        <w:tblLook w:val="04A0" w:firstRow="1" w:lastRow="0" w:firstColumn="1" w:lastColumn="0" w:noHBand="0" w:noVBand="1"/>
      </w:tblPr>
      <w:tblGrid>
        <w:gridCol w:w="222"/>
        <w:gridCol w:w="1720"/>
        <w:gridCol w:w="1660"/>
        <w:gridCol w:w="1720"/>
        <w:gridCol w:w="222"/>
      </w:tblGrid>
      <w:tr w:rsidR="00B07EDC" w:rsidRPr="00B07EDC" w14:paraId="41E22187" w14:textId="77777777" w:rsidTr="00F9492C">
        <w:trPr>
          <w:trHeight w:val="210"/>
        </w:trPr>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64093C6E" w14:textId="77777777" w:rsidR="00E90C9F" w:rsidRPr="00B07EDC" w:rsidRDefault="00E90C9F" w:rsidP="00DF5EE3">
            <w:pPr>
              <w:rPr>
                <w:rFonts w:ascii="Times New Roman" w:eastAsia="Times New Roman" w:hAnsi="Times New Roman" w:cs="Times New Roman"/>
                <w:color w:val="58595B"/>
                <w:sz w:val="24"/>
                <w:szCs w:val="24"/>
              </w:rPr>
            </w:pPr>
          </w:p>
        </w:tc>
        <w:tc>
          <w:tcPr>
            <w:tcW w:w="1720" w:type="dxa"/>
            <w:tcBorders>
              <w:top w:val="single" w:sz="4" w:space="0" w:color="FFFFFF" w:themeColor="background1"/>
              <w:left w:val="single" w:sz="4" w:space="0" w:color="FFFFFF" w:themeColor="background1"/>
              <w:bottom w:val="nil"/>
              <w:right w:val="single" w:sz="4" w:space="0" w:color="FFFFFF" w:themeColor="background1"/>
            </w:tcBorders>
            <w:shd w:val="clear" w:color="auto" w:fill="auto"/>
            <w:noWrap/>
            <w:vAlign w:val="bottom"/>
            <w:hideMark/>
          </w:tcPr>
          <w:p w14:paraId="516023BF" w14:textId="77777777" w:rsidR="00E90C9F" w:rsidRPr="00B07EDC" w:rsidRDefault="00E90C9F" w:rsidP="00DF5EE3">
            <w:pPr>
              <w:rPr>
                <w:rFonts w:ascii="Times New Roman" w:eastAsia="Times New Roman" w:hAnsi="Times New Roman" w:cs="Times New Roman"/>
                <w:color w:val="58595B"/>
                <w:sz w:val="20"/>
                <w:szCs w:val="20"/>
              </w:rPr>
            </w:pPr>
          </w:p>
        </w:tc>
        <w:tc>
          <w:tcPr>
            <w:tcW w:w="1660" w:type="dxa"/>
            <w:tcBorders>
              <w:top w:val="single" w:sz="4" w:space="0" w:color="FFFFFF" w:themeColor="background1"/>
              <w:left w:val="single" w:sz="4" w:space="0" w:color="FFFFFF" w:themeColor="background1"/>
              <w:bottom w:val="nil"/>
              <w:right w:val="single" w:sz="4" w:space="0" w:color="FFFFFF" w:themeColor="background1"/>
            </w:tcBorders>
            <w:shd w:val="clear" w:color="auto" w:fill="auto"/>
            <w:noWrap/>
            <w:vAlign w:val="bottom"/>
            <w:hideMark/>
          </w:tcPr>
          <w:p w14:paraId="704843C8"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single" w:sz="4" w:space="0" w:color="FFFFFF" w:themeColor="background1"/>
              <w:left w:val="single" w:sz="4" w:space="0" w:color="FFFFFF" w:themeColor="background1"/>
              <w:bottom w:val="nil"/>
              <w:right w:val="single" w:sz="4" w:space="0" w:color="FFFFFF" w:themeColor="background1"/>
            </w:tcBorders>
            <w:shd w:val="clear" w:color="auto" w:fill="auto"/>
            <w:noWrap/>
            <w:vAlign w:val="bottom"/>
            <w:hideMark/>
          </w:tcPr>
          <w:p w14:paraId="1F5D30FE" w14:textId="77777777" w:rsidR="00E90C9F" w:rsidRPr="00B07EDC" w:rsidRDefault="00E90C9F" w:rsidP="00DF5EE3">
            <w:pPr>
              <w:jc w:val="center"/>
              <w:rPr>
                <w:rFonts w:ascii="Times New Roman" w:eastAsia="Times New Roman" w:hAnsi="Times New Roman" w:cs="Times New Roman"/>
                <w:color w:val="58595B"/>
                <w:sz w:val="20"/>
                <w:szCs w:val="20"/>
              </w:rPr>
            </w:pPr>
          </w:p>
        </w:tc>
        <w:tc>
          <w:tcPr>
            <w:tcW w:w="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noWrap/>
            <w:vAlign w:val="bottom"/>
            <w:hideMark/>
          </w:tcPr>
          <w:p w14:paraId="552D31F3" w14:textId="77777777" w:rsidR="00E90C9F" w:rsidRPr="00B07EDC" w:rsidRDefault="00E90C9F" w:rsidP="00DF5EE3">
            <w:pPr>
              <w:jc w:val="center"/>
              <w:rPr>
                <w:rFonts w:ascii="Times New Roman" w:eastAsia="Times New Roman" w:hAnsi="Times New Roman" w:cs="Times New Roman"/>
                <w:color w:val="58595B"/>
                <w:sz w:val="20"/>
                <w:szCs w:val="20"/>
              </w:rPr>
            </w:pPr>
          </w:p>
        </w:tc>
      </w:tr>
      <w:tr w:rsidR="00B07EDC" w:rsidRPr="00B07EDC" w14:paraId="60257600" w14:textId="77777777" w:rsidTr="00F9492C">
        <w:trPr>
          <w:trHeight w:val="420"/>
        </w:trPr>
        <w:tc>
          <w:tcPr>
            <w:tcW w:w="22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hideMark/>
          </w:tcPr>
          <w:p w14:paraId="1B2D0140"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single" w:sz="8" w:space="0" w:color="auto"/>
              <w:left w:val="single" w:sz="8" w:space="0" w:color="auto"/>
              <w:bottom w:val="single" w:sz="8" w:space="0" w:color="auto"/>
              <w:right w:val="single" w:sz="8" w:space="0" w:color="auto"/>
            </w:tcBorders>
            <w:shd w:val="clear" w:color="000000" w:fill="C9C9C9"/>
            <w:vAlign w:val="center"/>
            <w:hideMark/>
          </w:tcPr>
          <w:p w14:paraId="2895B97C" w14:textId="77777777" w:rsidR="00E90C9F" w:rsidRPr="00B07EDC" w:rsidRDefault="00E90C9F" w:rsidP="00DF5EE3">
            <w:pPr>
              <w:rPr>
                <w:rFonts w:ascii="Calibri" w:eastAsia="Times New Roman" w:hAnsi="Calibri" w:cs="Calibri"/>
                <w:color w:val="58595B"/>
              </w:rPr>
            </w:pPr>
            <w:r w:rsidRPr="00B07EDC">
              <w:rPr>
                <w:rFonts w:ascii="Calibri" w:eastAsia="Times New Roman" w:hAnsi="Calibri" w:cs="Calibri"/>
                <w:color w:val="58595B"/>
              </w:rPr>
              <w:t>Firm</w:t>
            </w:r>
          </w:p>
        </w:tc>
        <w:tc>
          <w:tcPr>
            <w:tcW w:w="1660" w:type="dxa"/>
            <w:tcBorders>
              <w:top w:val="single" w:sz="8" w:space="0" w:color="auto"/>
              <w:left w:val="nil"/>
              <w:bottom w:val="single" w:sz="8" w:space="0" w:color="auto"/>
              <w:right w:val="single" w:sz="8" w:space="0" w:color="auto"/>
            </w:tcBorders>
            <w:shd w:val="clear" w:color="000000" w:fill="C9C9C9"/>
            <w:vAlign w:val="center"/>
            <w:hideMark/>
          </w:tcPr>
          <w:p w14:paraId="12F99D98"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Ending S&amp;P 500</w:t>
            </w:r>
          </w:p>
        </w:tc>
        <w:tc>
          <w:tcPr>
            <w:tcW w:w="1720" w:type="dxa"/>
            <w:tcBorders>
              <w:top w:val="single" w:sz="8" w:space="0" w:color="auto"/>
              <w:left w:val="nil"/>
              <w:bottom w:val="single" w:sz="8" w:space="0" w:color="auto"/>
              <w:right w:val="single" w:sz="8" w:space="0" w:color="auto"/>
            </w:tcBorders>
            <w:shd w:val="clear" w:color="000000" w:fill="C9C9C9"/>
            <w:vAlign w:val="center"/>
            <w:hideMark/>
          </w:tcPr>
          <w:p w14:paraId="0D1F9801"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Price Return (%)</w:t>
            </w:r>
          </w:p>
        </w:tc>
        <w:tc>
          <w:tcPr>
            <w:tcW w:w="222"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1017124B" w14:textId="77777777" w:rsidR="00E90C9F" w:rsidRPr="00B07EDC" w:rsidRDefault="00E90C9F" w:rsidP="00DF5EE3">
            <w:pPr>
              <w:jc w:val="center"/>
              <w:rPr>
                <w:rFonts w:ascii="Calibri" w:eastAsia="Times New Roman" w:hAnsi="Calibri" w:cs="Calibri"/>
                <w:color w:val="58595B"/>
              </w:rPr>
            </w:pPr>
          </w:p>
        </w:tc>
      </w:tr>
      <w:tr w:rsidR="00B07EDC" w:rsidRPr="00B07EDC" w14:paraId="67341615" w14:textId="77777777" w:rsidTr="00F9492C">
        <w:trPr>
          <w:trHeight w:val="315"/>
        </w:trPr>
        <w:tc>
          <w:tcPr>
            <w:tcW w:w="22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hideMark/>
          </w:tcPr>
          <w:p w14:paraId="182CC507"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088F6E05" w14:textId="77777777" w:rsidR="00E90C9F" w:rsidRPr="00B07EDC" w:rsidRDefault="00E90C9F" w:rsidP="00DF5EE3">
            <w:pPr>
              <w:rPr>
                <w:rFonts w:ascii="Calibri" w:eastAsia="Times New Roman" w:hAnsi="Calibri" w:cs="Calibri"/>
                <w:color w:val="58595B"/>
              </w:rPr>
            </w:pPr>
            <w:r w:rsidRPr="00B07EDC">
              <w:rPr>
                <w:rFonts w:ascii="Calibri" w:eastAsia="Times New Roman" w:hAnsi="Calibri" w:cs="Calibri"/>
                <w:color w:val="58595B"/>
              </w:rPr>
              <w:t>Barclays</w:t>
            </w:r>
          </w:p>
        </w:tc>
        <w:tc>
          <w:tcPr>
            <w:tcW w:w="1660" w:type="dxa"/>
            <w:tcBorders>
              <w:top w:val="nil"/>
              <w:left w:val="nil"/>
              <w:bottom w:val="single" w:sz="8" w:space="0" w:color="auto"/>
              <w:right w:val="single" w:sz="8" w:space="0" w:color="auto"/>
            </w:tcBorders>
            <w:shd w:val="clear" w:color="auto" w:fill="auto"/>
            <w:vAlign w:val="center"/>
            <w:hideMark/>
          </w:tcPr>
          <w:p w14:paraId="017C6C71"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3,675 </w:t>
            </w:r>
          </w:p>
        </w:tc>
        <w:tc>
          <w:tcPr>
            <w:tcW w:w="1720" w:type="dxa"/>
            <w:tcBorders>
              <w:top w:val="nil"/>
              <w:left w:val="nil"/>
              <w:bottom w:val="single" w:sz="8" w:space="0" w:color="auto"/>
              <w:right w:val="single" w:sz="8" w:space="0" w:color="auto"/>
            </w:tcBorders>
            <w:shd w:val="clear" w:color="auto" w:fill="auto"/>
            <w:vAlign w:val="center"/>
            <w:hideMark/>
          </w:tcPr>
          <w:p w14:paraId="1D58EE7D"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(3.9)</w:t>
            </w:r>
          </w:p>
        </w:tc>
        <w:tc>
          <w:tcPr>
            <w:tcW w:w="222"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77C1F72B" w14:textId="77777777" w:rsidR="00E90C9F" w:rsidRPr="00B07EDC" w:rsidRDefault="00E90C9F" w:rsidP="00DF5EE3">
            <w:pPr>
              <w:jc w:val="center"/>
              <w:rPr>
                <w:rFonts w:ascii="Calibri" w:eastAsia="Times New Roman" w:hAnsi="Calibri" w:cs="Calibri"/>
                <w:color w:val="58595B"/>
              </w:rPr>
            </w:pPr>
          </w:p>
        </w:tc>
      </w:tr>
      <w:tr w:rsidR="00B07EDC" w:rsidRPr="00B07EDC" w14:paraId="4B0F36ED" w14:textId="77777777" w:rsidTr="00F9492C">
        <w:trPr>
          <w:trHeight w:val="315"/>
        </w:trPr>
        <w:tc>
          <w:tcPr>
            <w:tcW w:w="22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hideMark/>
          </w:tcPr>
          <w:p w14:paraId="5440039C"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36D76BA9" w14:textId="77777777" w:rsidR="00E90C9F" w:rsidRPr="00B07EDC" w:rsidRDefault="00E90C9F" w:rsidP="00DF5EE3">
            <w:pPr>
              <w:rPr>
                <w:rFonts w:ascii="Calibri" w:eastAsia="Times New Roman" w:hAnsi="Calibri" w:cs="Calibri"/>
                <w:color w:val="58595B"/>
              </w:rPr>
            </w:pPr>
            <w:r w:rsidRPr="00B07EDC">
              <w:rPr>
                <w:rFonts w:ascii="Calibri" w:eastAsia="Times New Roman" w:hAnsi="Calibri" w:cs="Calibri"/>
                <w:color w:val="58595B"/>
              </w:rPr>
              <w:t>Morgan Stanley</w:t>
            </w:r>
          </w:p>
        </w:tc>
        <w:tc>
          <w:tcPr>
            <w:tcW w:w="1660" w:type="dxa"/>
            <w:tcBorders>
              <w:top w:val="nil"/>
              <w:left w:val="nil"/>
              <w:bottom w:val="single" w:sz="8" w:space="0" w:color="auto"/>
              <w:right w:val="single" w:sz="8" w:space="0" w:color="auto"/>
            </w:tcBorders>
            <w:shd w:val="clear" w:color="auto" w:fill="auto"/>
            <w:vAlign w:val="center"/>
            <w:hideMark/>
          </w:tcPr>
          <w:p w14:paraId="014A1322"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3,900 </w:t>
            </w:r>
          </w:p>
        </w:tc>
        <w:tc>
          <w:tcPr>
            <w:tcW w:w="1720" w:type="dxa"/>
            <w:tcBorders>
              <w:top w:val="nil"/>
              <w:left w:val="nil"/>
              <w:bottom w:val="single" w:sz="8" w:space="0" w:color="auto"/>
              <w:right w:val="single" w:sz="8" w:space="0" w:color="auto"/>
            </w:tcBorders>
            <w:shd w:val="clear" w:color="auto" w:fill="auto"/>
            <w:vAlign w:val="center"/>
            <w:hideMark/>
          </w:tcPr>
          <w:p w14:paraId="11CC9F93"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2.0 </w:t>
            </w:r>
          </w:p>
        </w:tc>
        <w:tc>
          <w:tcPr>
            <w:tcW w:w="222"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721281EC" w14:textId="77777777" w:rsidR="00E90C9F" w:rsidRPr="00B07EDC" w:rsidRDefault="00E90C9F" w:rsidP="00DF5EE3">
            <w:pPr>
              <w:jc w:val="center"/>
              <w:rPr>
                <w:rFonts w:ascii="Calibri" w:eastAsia="Times New Roman" w:hAnsi="Calibri" w:cs="Calibri"/>
                <w:color w:val="58595B"/>
              </w:rPr>
            </w:pPr>
          </w:p>
        </w:tc>
      </w:tr>
      <w:tr w:rsidR="00B07EDC" w:rsidRPr="00B07EDC" w14:paraId="2A3FC2E0" w14:textId="77777777" w:rsidTr="00F9492C">
        <w:trPr>
          <w:trHeight w:val="315"/>
        </w:trPr>
        <w:tc>
          <w:tcPr>
            <w:tcW w:w="22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hideMark/>
          </w:tcPr>
          <w:p w14:paraId="21BB11D1"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20A75219" w14:textId="77777777" w:rsidR="00E90C9F" w:rsidRPr="00B07EDC" w:rsidRDefault="00E90C9F" w:rsidP="00DF5EE3">
            <w:pPr>
              <w:rPr>
                <w:rFonts w:ascii="Calibri" w:eastAsia="Times New Roman" w:hAnsi="Calibri" w:cs="Calibri"/>
                <w:color w:val="58595B"/>
              </w:rPr>
            </w:pPr>
            <w:r w:rsidRPr="00B07EDC">
              <w:rPr>
                <w:rFonts w:ascii="Calibri" w:eastAsia="Times New Roman" w:hAnsi="Calibri" w:cs="Calibri"/>
                <w:color w:val="58595B"/>
              </w:rPr>
              <w:t>UBS</w:t>
            </w:r>
          </w:p>
        </w:tc>
        <w:tc>
          <w:tcPr>
            <w:tcW w:w="1660" w:type="dxa"/>
            <w:tcBorders>
              <w:top w:val="nil"/>
              <w:left w:val="nil"/>
              <w:bottom w:val="single" w:sz="8" w:space="0" w:color="auto"/>
              <w:right w:val="single" w:sz="8" w:space="0" w:color="auto"/>
            </w:tcBorders>
            <w:shd w:val="clear" w:color="auto" w:fill="auto"/>
            <w:vAlign w:val="center"/>
            <w:hideMark/>
          </w:tcPr>
          <w:p w14:paraId="4E055462"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3,900 </w:t>
            </w:r>
          </w:p>
        </w:tc>
        <w:tc>
          <w:tcPr>
            <w:tcW w:w="1720" w:type="dxa"/>
            <w:tcBorders>
              <w:top w:val="nil"/>
              <w:left w:val="nil"/>
              <w:bottom w:val="single" w:sz="8" w:space="0" w:color="auto"/>
              <w:right w:val="single" w:sz="8" w:space="0" w:color="auto"/>
            </w:tcBorders>
            <w:shd w:val="clear" w:color="auto" w:fill="auto"/>
            <w:vAlign w:val="center"/>
            <w:hideMark/>
          </w:tcPr>
          <w:p w14:paraId="3D83227F"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2.0 </w:t>
            </w:r>
          </w:p>
        </w:tc>
        <w:tc>
          <w:tcPr>
            <w:tcW w:w="222"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6ACF3561" w14:textId="77777777" w:rsidR="00E90C9F" w:rsidRPr="00B07EDC" w:rsidRDefault="00E90C9F" w:rsidP="00DF5EE3">
            <w:pPr>
              <w:jc w:val="center"/>
              <w:rPr>
                <w:rFonts w:ascii="Calibri" w:eastAsia="Times New Roman" w:hAnsi="Calibri" w:cs="Calibri"/>
                <w:color w:val="58595B"/>
              </w:rPr>
            </w:pPr>
          </w:p>
        </w:tc>
      </w:tr>
      <w:tr w:rsidR="00B07EDC" w:rsidRPr="00B07EDC" w14:paraId="6173F3E6" w14:textId="77777777" w:rsidTr="00F9492C">
        <w:trPr>
          <w:trHeight w:val="315"/>
        </w:trPr>
        <w:tc>
          <w:tcPr>
            <w:tcW w:w="22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hideMark/>
          </w:tcPr>
          <w:p w14:paraId="6B23CFEF"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57ECE561" w14:textId="77777777" w:rsidR="00E90C9F" w:rsidRPr="00B07EDC" w:rsidRDefault="00E90C9F" w:rsidP="00DF5EE3">
            <w:pPr>
              <w:rPr>
                <w:rFonts w:ascii="Calibri" w:eastAsia="Times New Roman" w:hAnsi="Calibri" w:cs="Calibri"/>
                <w:color w:val="58595B"/>
              </w:rPr>
            </w:pPr>
            <w:r w:rsidRPr="00B07EDC">
              <w:rPr>
                <w:rFonts w:ascii="Calibri" w:eastAsia="Times New Roman" w:hAnsi="Calibri" w:cs="Calibri"/>
                <w:color w:val="58595B"/>
              </w:rPr>
              <w:t>Citi</w:t>
            </w:r>
          </w:p>
        </w:tc>
        <w:tc>
          <w:tcPr>
            <w:tcW w:w="1660" w:type="dxa"/>
            <w:tcBorders>
              <w:top w:val="nil"/>
              <w:left w:val="nil"/>
              <w:bottom w:val="single" w:sz="8" w:space="0" w:color="auto"/>
              <w:right w:val="single" w:sz="8" w:space="0" w:color="auto"/>
            </w:tcBorders>
            <w:shd w:val="clear" w:color="auto" w:fill="auto"/>
            <w:vAlign w:val="center"/>
            <w:hideMark/>
          </w:tcPr>
          <w:p w14:paraId="3628A743"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3,900 </w:t>
            </w:r>
          </w:p>
        </w:tc>
        <w:tc>
          <w:tcPr>
            <w:tcW w:w="1720" w:type="dxa"/>
            <w:tcBorders>
              <w:top w:val="nil"/>
              <w:left w:val="nil"/>
              <w:bottom w:val="single" w:sz="8" w:space="0" w:color="auto"/>
              <w:right w:val="single" w:sz="8" w:space="0" w:color="auto"/>
            </w:tcBorders>
            <w:shd w:val="clear" w:color="auto" w:fill="auto"/>
            <w:vAlign w:val="center"/>
            <w:hideMark/>
          </w:tcPr>
          <w:p w14:paraId="50A573D4"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2.0 </w:t>
            </w:r>
          </w:p>
        </w:tc>
        <w:tc>
          <w:tcPr>
            <w:tcW w:w="222"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76597895" w14:textId="77777777" w:rsidR="00E90C9F" w:rsidRPr="00B07EDC" w:rsidRDefault="00E90C9F" w:rsidP="00DF5EE3">
            <w:pPr>
              <w:jc w:val="center"/>
              <w:rPr>
                <w:rFonts w:ascii="Calibri" w:eastAsia="Times New Roman" w:hAnsi="Calibri" w:cs="Calibri"/>
                <w:color w:val="58595B"/>
              </w:rPr>
            </w:pPr>
          </w:p>
        </w:tc>
      </w:tr>
      <w:tr w:rsidR="00B07EDC" w:rsidRPr="00B07EDC" w14:paraId="61C96609" w14:textId="77777777" w:rsidTr="00F9492C">
        <w:trPr>
          <w:trHeight w:val="315"/>
        </w:trPr>
        <w:tc>
          <w:tcPr>
            <w:tcW w:w="22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hideMark/>
          </w:tcPr>
          <w:p w14:paraId="38609D7D"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6D86A391" w14:textId="77777777" w:rsidR="00E90C9F" w:rsidRPr="00B07EDC" w:rsidRDefault="00E90C9F" w:rsidP="00DF5EE3">
            <w:pPr>
              <w:rPr>
                <w:rFonts w:ascii="Calibri" w:eastAsia="Times New Roman" w:hAnsi="Calibri" w:cs="Calibri"/>
                <w:color w:val="58595B"/>
              </w:rPr>
            </w:pPr>
            <w:r w:rsidRPr="00B07EDC">
              <w:rPr>
                <w:rFonts w:ascii="Calibri" w:eastAsia="Times New Roman" w:hAnsi="Calibri" w:cs="Calibri"/>
                <w:color w:val="58595B"/>
              </w:rPr>
              <w:t>BlackRock</w:t>
            </w:r>
          </w:p>
        </w:tc>
        <w:tc>
          <w:tcPr>
            <w:tcW w:w="1660" w:type="dxa"/>
            <w:tcBorders>
              <w:top w:val="nil"/>
              <w:left w:val="nil"/>
              <w:bottom w:val="single" w:sz="8" w:space="0" w:color="auto"/>
              <w:right w:val="single" w:sz="8" w:space="0" w:color="auto"/>
            </w:tcBorders>
            <w:shd w:val="clear" w:color="auto" w:fill="auto"/>
            <w:vAlign w:val="center"/>
            <w:hideMark/>
          </w:tcPr>
          <w:p w14:paraId="613DE5BD"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3,930 </w:t>
            </w:r>
          </w:p>
        </w:tc>
        <w:tc>
          <w:tcPr>
            <w:tcW w:w="1720" w:type="dxa"/>
            <w:tcBorders>
              <w:top w:val="nil"/>
              <w:left w:val="nil"/>
              <w:bottom w:val="single" w:sz="8" w:space="0" w:color="auto"/>
              <w:right w:val="single" w:sz="8" w:space="0" w:color="auto"/>
            </w:tcBorders>
            <w:shd w:val="clear" w:color="auto" w:fill="auto"/>
            <w:vAlign w:val="center"/>
            <w:hideMark/>
          </w:tcPr>
          <w:p w14:paraId="1EA36B70" w14:textId="77777777" w:rsidR="00E90C9F" w:rsidRPr="00B07EDC" w:rsidRDefault="00E90C9F" w:rsidP="00DF5EE3">
            <w:pPr>
              <w:jc w:val="center"/>
              <w:rPr>
                <w:rFonts w:ascii="Calibri" w:eastAsia="Times New Roman" w:hAnsi="Calibri" w:cs="Calibri"/>
                <w:color w:val="58595B"/>
              </w:rPr>
            </w:pPr>
            <w:r w:rsidRPr="00B07EDC">
              <w:rPr>
                <w:rFonts w:ascii="Calibri" w:eastAsia="Times New Roman" w:hAnsi="Calibri" w:cs="Calibri"/>
                <w:color w:val="58595B"/>
              </w:rPr>
              <w:t xml:space="preserve">2.8 </w:t>
            </w:r>
          </w:p>
        </w:tc>
        <w:tc>
          <w:tcPr>
            <w:tcW w:w="222"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7E5D711D" w14:textId="77777777" w:rsidR="00E90C9F" w:rsidRPr="00B07EDC" w:rsidRDefault="00E90C9F" w:rsidP="00DF5EE3">
            <w:pPr>
              <w:jc w:val="center"/>
              <w:rPr>
                <w:rFonts w:ascii="Calibri" w:eastAsia="Times New Roman" w:hAnsi="Calibri" w:cs="Calibri"/>
                <w:color w:val="58595B"/>
              </w:rPr>
            </w:pPr>
          </w:p>
        </w:tc>
      </w:tr>
      <w:tr w:rsidR="00B07EDC" w:rsidRPr="00B07EDC" w14:paraId="0711CB3B" w14:textId="77777777" w:rsidTr="00F9492C">
        <w:trPr>
          <w:trHeight w:val="315"/>
        </w:trPr>
        <w:tc>
          <w:tcPr>
            <w:tcW w:w="222" w:type="dxa"/>
            <w:tcBorders>
              <w:top w:val="single" w:sz="4" w:space="0" w:color="FFFFFF" w:themeColor="background1"/>
              <w:left w:val="single" w:sz="4" w:space="0" w:color="FFFFFF" w:themeColor="background1"/>
              <w:bottom w:val="single" w:sz="4" w:space="0" w:color="FFFFFF" w:themeColor="background1"/>
              <w:right w:val="nil"/>
            </w:tcBorders>
            <w:shd w:val="clear" w:color="auto" w:fill="auto"/>
            <w:noWrap/>
            <w:vAlign w:val="bottom"/>
            <w:hideMark/>
          </w:tcPr>
          <w:p w14:paraId="065C54E5" w14:textId="77777777" w:rsidR="00E90C9F" w:rsidRPr="00B07EDC" w:rsidRDefault="00E90C9F" w:rsidP="00DF5EE3">
            <w:pPr>
              <w:rPr>
                <w:rFonts w:ascii="Times New Roman" w:eastAsia="Times New Roman" w:hAnsi="Times New Roman" w:cs="Times New Roman"/>
                <w:color w:val="58595B"/>
                <w:sz w:val="20"/>
                <w:szCs w:val="20"/>
              </w:rPr>
            </w:pPr>
          </w:p>
        </w:tc>
        <w:tc>
          <w:tcPr>
            <w:tcW w:w="1720" w:type="dxa"/>
            <w:tcBorders>
              <w:top w:val="nil"/>
              <w:left w:val="single" w:sz="8" w:space="0" w:color="auto"/>
              <w:bottom w:val="single" w:sz="8" w:space="0" w:color="auto"/>
              <w:right w:val="single" w:sz="8" w:space="0" w:color="auto"/>
            </w:tcBorders>
            <w:shd w:val="clear" w:color="auto" w:fill="auto"/>
            <w:vAlign w:val="center"/>
            <w:hideMark/>
          </w:tcPr>
          <w:p w14:paraId="1F317EB4" w14:textId="77777777" w:rsidR="00E90C9F" w:rsidRPr="00B07EDC" w:rsidRDefault="00E90C9F" w:rsidP="00DF5EE3">
            <w:pPr>
              <w:rPr>
                <w:rFonts w:ascii="Calibri" w:eastAsia="Times New Roman" w:hAnsi="Calibri" w:cs="Calibri"/>
                <w:b/>
                <w:bCs/>
                <w:i/>
                <w:iCs/>
                <w:color w:val="58595B"/>
              </w:rPr>
            </w:pPr>
            <w:r w:rsidRPr="00B07EDC">
              <w:rPr>
                <w:rFonts w:ascii="Calibri" w:eastAsia="Times New Roman" w:hAnsi="Calibri" w:cs="Calibri"/>
                <w:b/>
                <w:bCs/>
                <w:i/>
                <w:iCs/>
                <w:color w:val="58595B"/>
              </w:rPr>
              <w:t>Actual</w:t>
            </w:r>
          </w:p>
        </w:tc>
        <w:tc>
          <w:tcPr>
            <w:tcW w:w="1660" w:type="dxa"/>
            <w:tcBorders>
              <w:top w:val="nil"/>
              <w:left w:val="nil"/>
              <w:bottom w:val="single" w:sz="8" w:space="0" w:color="auto"/>
              <w:right w:val="single" w:sz="8" w:space="0" w:color="auto"/>
            </w:tcBorders>
            <w:shd w:val="clear" w:color="auto" w:fill="auto"/>
            <w:vAlign w:val="center"/>
            <w:hideMark/>
          </w:tcPr>
          <w:p w14:paraId="48D68AFE" w14:textId="77777777" w:rsidR="00E90C9F" w:rsidRPr="00B07EDC" w:rsidRDefault="00E90C9F" w:rsidP="00DF5EE3">
            <w:pPr>
              <w:jc w:val="center"/>
              <w:rPr>
                <w:rFonts w:ascii="Calibri" w:eastAsia="Times New Roman" w:hAnsi="Calibri" w:cs="Calibri"/>
                <w:b/>
                <w:bCs/>
                <w:i/>
                <w:iCs/>
                <w:color w:val="58595B"/>
              </w:rPr>
            </w:pPr>
            <w:r w:rsidRPr="00B07EDC">
              <w:rPr>
                <w:rFonts w:ascii="Calibri" w:eastAsia="Times New Roman" w:hAnsi="Calibri" w:cs="Calibri"/>
                <w:b/>
                <w:bCs/>
                <w:i/>
                <w:iCs/>
                <w:color w:val="58595B"/>
              </w:rPr>
              <w:t xml:space="preserve">4,783 </w:t>
            </w:r>
          </w:p>
        </w:tc>
        <w:tc>
          <w:tcPr>
            <w:tcW w:w="1720" w:type="dxa"/>
            <w:tcBorders>
              <w:top w:val="nil"/>
              <w:left w:val="nil"/>
              <w:bottom w:val="single" w:sz="8" w:space="0" w:color="auto"/>
              <w:right w:val="single" w:sz="8" w:space="0" w:color="auto"/>
            </w:tcBorders>
            <w:shd w:val="clear" w:color="auto" w:fill="auto"/>
            <w:vAlign w:val="center"/>
            <w:hideMark/>
          </w:tcPr>
          <w:p w14:paraId="699F16AD" w14:textId="77777777" w:rsidR="00E90C9F" w:rsidRPr="00B07EDC" w:rsidRDefault="00E90C9F" w:rsidP="00DF5EE3">
            <w:pPr>
              <w:jc w:val="center"/>
              <w:rPr>
                <w:rFonts w:ascii="Calibri" w:eastAsia="Times New Roman" w:hAnsi="Calibri" w:cs="Calibri"/>
                <w:b/>
                <w:bCs/>
                <w:i/>
                <w:iCs/>
                <w:color w:val="58595B"/>
              </w:rPr>
            </w:pPr>
            <w:r w:rsidRPr="00B07EDC">
              <w:rPr>
                <w:rFonts w:ascii="Calibri" w:eastAsia="Times New Roman" w:hAnsi="Calibri" w:cs="Calibri"/>
                <w:b/>
                <w:bCs/>
                <w:i/>
                <w:iCs/>
                <w:color w:val="58595B"/>
              </w:rPr>
              <w:t xml:space="preserve">25.1 </w:t>
            </w:r>
          </w:p>
        </w:tc>
        <w:tc>
          <w:tcPr>
            <w:tcW w:w="222"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noWrap/>
            <w:vAlign w:val="bottom"/>
            <w:hideMark/>
          </w:tcPr>
          <w:p w14:paraId="1735D3FA" w14:textId="77777777" w:rsidR="00E90C9F" w:rsidRPr="00B07EDC" w:rsidRDefault="00E90C9F" w:rsidP="00DF5EE3">
            <w:pPr>
              <w:jc w:val="center"/>
              <w:rPr>
                <w:rFonts w:ascii="Calibri" w:eastAsia="Times New Roman" w:hAnsi="Calibri" w:cs="Calibri"/>
                <w:b/>
                <w:bCs/>
                <w:i/>
                <w:iCs/>
                <w:color w:val="58595B"/>
              </w:rPr>
            </w:pPr>
          </w:p>
        </w:tc>
      </w:tr>
    </w:tbl>
    <w:p w14:paraId="73E2D0F3" w14:textId="77777777" w:rsidR="00BD6897" w:rsidRPr="00B07EDC" w:rsidRDefault="00BD6897" w:rsidP="00BD6897">
      <w:pPr>
        <w:pStyle w:val="FootnoteText"/>
        <w:rPr>
          <w:color w:val="58595B"/>
          <w:sz w:val="16"/>
          <w:szCs w:val="16"/>
        </w:rPr>
      </w:pPr>
    </w:p>
    <w:p w14:paraId="70324C7F" w14:textId="77777777" w:rsidR="00BD6897" w:rsidRPr="00B07EDC" w:rsidRDefault="00BD6897" w:rsidP="00BD6897">
      <w:pPr>
        <w:pStyle w:val="FootnoteText"/>
        <w:rPr>
          <w:color w:val="58595B"/>
          <w:sz w:val="16"/>
          <w:szCs w:val="16"/>
        </w:rPr>
      </w:pPr>
    </w:p>
    <w:p w14:paraId="2433132E" w14:textId="77777777" w:rsidR="00BD6897" w:rsidRPr="00B07EDC" w:rsidRDefault="00BD6897" w:rsidP="00BD6897">
      <w:pPr>
        <w:pStyle w:val="FootnoteText"/>
        <w:rPr>
          <w:color w:val="58595B"/>
          <w:sz w:val="16"/>
          <w:szCs w:val="16"/>
        </w:rPr>
      </w:pPr>
    </w:p>
    <w:p w14:paraId="2A922734" w14:textId="77777777" w:rsidR="00BD6897" w:rsidRPr="00B07EDC" w:rsidRDefault="00BD6897" w:rsidP="00BD6897">
      <w:pPr>
        <w:pStyle w:val="FootnoteText"/>
        <w:rPr>
          <w:color w:val="58595B"/>
          <w:sz w:val="16"/>
          <w:szCs w:val="16"/>
        </w:rPr>
      </w:pPr>
    </w:p>
    <w:p w14:paraId="6A9B17FF" w14:textId="77777777" w:rsidR="00BD6897" w:rsidRPr="00B07EDC" w:rsidRDefault="00BD6897" w:rsidP="00BD6897">
      <w:pPr>
        <w:pStyle w:val="FootnoteText"/>
        <w:rPr>
          <w:color w:val="58595B"/>
          <w:sz w:val="16"/>
          <w:szCs w:val="16"/>
        </w:rPr>
      </w:pPr>
    </w:p>
    <w:p w14:paraId="71C86B14" w14:textId="77777777" w:rsidR="00BD6897" w:rsidRPr="00B07EDC" w:rsidRDefault="00BD6897" w:rsidP="00BD6897">
      <w:pPr>
        <w:pStyle w:val="FootnoteText"/>
        <w:rPr>
          <w:color w:val="58595B"/>
          <w:sz w:val="16"/>
          <w:szCs w:val="16"/>
        </w:rPr>
      </w:pPr>
    </w:p>
    <w:p w14:paraId="714BDCF6" w14:textId="77777777" w:rsidR="00BD6897" w:rsidRPr="00B07EDC" w:rsidRDefault="00BD6897" w:rsidP="00BD6897">
      <w:pPr>
        <w:pStyle w:val="FootnoteText"/>
        <w:rPr>
          <w:color w:val="58595B"/>
          <w:sz w:val="16"/>
          <w:szCs w:val="16"/>
        </w:rPr>
      </w:pPr>
    </w:p>
    <w:p w14:paraId="7D4BD4E2" w14:textId="77777777" w:rsidR="00BD6897" w:rsidRPr="00B07EDC" w:rsidRDefault="00BD6897" w:rsidP="00BD6897">
      <w:pPr>
        <w:pStyle w:val="FootnoteText"/>
        <w:rPr>
          <w:color w:val="58595B"/>
          <w:sz w:val="16"/>
          <w:szCs w:val="16"/>
        </w:rPr>
      </w:pPr>
    </w:p>
    <w:p w14:paraId="78E3CB91" w14:textId="0000ED0F" w:rsidR="00F44F93" w:rsidRPr="00B07EDC" w:rsidRDefault="00F44F93" w:rsidP="00B07EDC">
      <w:pPr>
        <w:pStyle w:val="ListParagraph"/>
        <w:widowControl/>
        <w:numPr>
          <w:ilvl w:val="0"/>
          <w:numId w:val="49"/>
        </w:numPr>
        <w:spacing w:after="160" w:line="259" w:lineRule="auto"/>
        <w:contextualSpacing/>
        <w:rPr>
          <w:color w:val="58595B"/>
        </w:rPr>
      </w:pPr>
      <w:r w:rsidRPr="00B07EDC">
        <w:rPr>
          <w:color w:val="58595B"/>
        </w:rPr>
        <w:lastRenderedPageBreak/>
        <w:t>In James Montier</w:t>
      </w:r>
      <w:r w:rsidR="00E41FDB">
        <w:rPr>
          <w:color w:val="58595B"/>
        </w:rPr>
        <w:t>'</w:t>
      </w:r>
      <w:r w:rsidRPr="00B07EDC">
        <w:rPr>
          <w:color w:val="58595B"/>
        </w:rPr>
        <w:t>s book Behavioral Investing (2007), he shows aggregate forecasts from Wall Street</w:t>
      </w:r>
      <w:r w:rsidR="00E41FDB">
        <w:rPr>
          <w:color w:val="58595B"/>
        </w:rPr>
        <w:t>'</w:t>
      </w:r>
      <w:r w:rsidRPr="00B07EDC">
        <w:rPr>
          <w:color w:val="58595B"/>
        </w:rPr>
        <w:t>s most famous oracles through time, next to the actual trajectory of the forecast variable. In all cases, the analysts appear to do a noteworthy job of describing what just happened but appear to have no vision whatsoever about what is about to happen next. This applies to interest rates, the level of stock indices, and aggregate earnings.</w:t>
      </w:r>
    </w:p>
    <w:p w14:paraId="56057E4C" w14:textId="77777777" w:rsidR="00F44F93" w:rsidRPr="00B07EDC" w:rsidRDefault="00F44F93" w:rsidP="00F44F93">
      <w:pPr>
        <w:pStyle w:val="ListParagraph"/>
        <w:rPr>
          <w:color w:val="58595B"/>
        </w:rPr>
      </w:pPr>
    </w:p>
    <w:p w14:paraId="2BCB16EE" w14:textId="56C86500" w:rsidR="00F44F93" w:rsidRPr="00B07EDC" w:rsidRDefault="00F44F93" w:rsidP="00B07EDC">
      <w:pPr>
        <w:pStyle w:val="ListParagraph"/>
        <w:widowControl/>
        <w:numPr>
          <w:ilvl w:val="0"/>
          <w:numId w:val="49"/>
        </w:numPr>
        <w:spacing w:after="160" w:line="259" w:lineRule="auto"/>
        <w:contextualSpacing/>
        <w:rPr>
          <w:color w:val="58595B"/>
        </w:rPr>
      </w:pPr>
      <w:r w:rsidRPr="00B07EDC">
        <w:rPr>
          <w:color w:val="58595B"/>
        </w:rPr>
        <w:t>CXO Advisory has been tracking and publishing gurus</w:t>
      </w:r>
      <w:r w:rsidR="00E41FDB">
        <w:rPr>
          <w:color w:val="58595B"/>
        </w:rPr>
        <w:t>'</w:t>
      </w:r>
      <w:r w:rsidRPr="00B07EDC">
        <w:rPr>
          <w:color w:val="58595B"/>
        </w:rPr>
        <w:t xml:space="preserve"> forecasts of market direction since 1998.  Over 14 years, CXO concluded that the average guru</w:t>
      </w:r>
      <w:r w:rsidR="00E41FDB">
        <w:rPr>
          <w:color w:val="58595B"/>
        </w:rPr>
        <w:t>'</w:t>
      </w:r>
      <w:r w:rsidRPr="00B07EDC">
        <w:rPr>
          <w:color w:val="58595B"/>
        </w:rPr>
        <w:t>s accuracy in calling the market's direction has been about 47%, or slightly worse than a coin toss.</w:t>
      </w:r>
      <w:r w:rsidRPr="00B07EDC">
        <w:rPr>
          <w:rStyle w:val="FootnoteReference"/>
          <w:color w:val="58595B"/>
        </w:rPr>
        <w:footnoteReference w:id="1"/>
      </w:r>
      <w:r w:rsidRPr="00B07EDC">
        <w:rPr>
          <w:color w:val="58595B"/>
        </w:rPr>
        <w:t xml:space="preserve"> </w:t>
      </w:r>
    </w:p>
    <w:p w14:paraId="293B82D4" w14:textId="707E8250" w:rsidR="00F44F93" w:rsidRPr="00B07EDC" w:rsidRDefault="00F44F93" w:rsidP="00F44F93">
      <w:pPr>
        <w:rPr>
          <w:color w:val="58595B"/>
        </w:rPr>
      </w:pPr>
      <w:r w:rsidRPr="00B07EDC">
        <w:rPr>
          <w:color w:val="58595B"/>
        </w:rPr>
        <w:t xml:space="preserve">Many people market to the desire for certainty, but it does not exist in the investing world. There are no </w:t>
      </w:r>
      <w:r w:rsidR="00E41FDB">
        <w:rPr>
          <w:color w:val="58595B"/>
        </w:rPr>
        <w:t>"</w:t>
      </w:r>
      <w:r w:rsidRPr="00B07EDC">
        <w:rPr>
          <w:color w:val="58595B"/>
        </w:rPr>
        <w:t>miracle</w:t>
      </w:r>
      <w:r w:rsidR="00E41FDB">
        <w:rPr>
          <w:color w:val="58595B"/>
        </w:rPr>
        <w:t>"</w:t>
      </w:r>
      <w:r w:rsidRPr="00B07EDC">
        <w:rPr>
          <w:color w:val="58595B"/>
        </w:rPr>
        <w:t xml:space="preserve"> managers or products. We should realize everybody</w:t>
      </w:r>
      <w:r w:rsidR="00E41FDB">
        <w:rPr>
          <w:color w:val="58595B"/>
        </w:rPr>
        <w:t>'</w:t>
      </w:r>
      <w:r w:rsidRPr="00B07EDC">
        <w:rPr>
          <w:color w:val="58595B"/>
        </w:rPr>
        <w:t>s crystal balls are</w:t>
      </w:r>
      <w:r w:rsidR="00E41FDB">
        <w:rPr>
          <w:color w:val="58595B"/>
        </w:rPr>
        <w:t>,</w:t>
      </w:r>
      <w:r w:rsidRPr="00B07EDC">
        <w:rPr>
          <w:color w:val="58595B"/>
        </w:rPr>
        <w:t xml:space="preserve"> at best</w:t>
      </w:r>
      <w:r w:rsidR="00E41FDB">
        <w:rPr>
          <w:color w:val="58595B"/>
        </w:rPr>
        <w:t>,</w:t>
      </w:r>
      <w:r w:rsidRPr="00B07EDC">
        <w:rPr>
          <w:color w:val="58595B"/>
        </w:rPr>
        <w:t xml:space="preserve"> cloudy, and the sooner we realize that the better we can focus on items we can control. </w:t>
      </w:r>
    </w:p>
    <w:p w14:paraId="6B16B4BD" w14:textId="77777777" w:rsidR="00F44F93" w:rsidRPr="00B07EDC" w:rsidRDefault="00F44F93" w:rsidP="00F44F93">
      <w:pPr>
        <w:rPr>
          <w:color w:val="58595B"/>
        </w:rPr>
      </w:pPr>
    </w:p>
    <w:p w14:paraId="61209990" w14:textId="405A27D4" w:rsidR="00F44F93" w:rsidRPr="00B07EDC" w:rsidRDefault="00F44F93" w:rsidP="00F44F93">
      <w:pPr>
        <w:rPr>
          <w:color w:val="58595B"/>
        </w:rPr>
      </w:pPr>
      <w:r w:rsidRPr="00B07EDC">
        <w:rPr>
          <w:color w:val="58595B"/>
        </w:rPr>
        <w:t xml:space="preserve">Please reach out to me to discuss how we can improve your finances for the coming year. </w:t>
      </w:r>
      <w:proofErr w:type="gramStart"/>
      <w:r w:rsidRPr="00B07EDC">
        <w:rPr>
          <w:color w:val="58595B"/>
        </w:rPr>
        <w:t>Similar to</w:t>
      </w:r>
      <w:proofErr w:type="gramEnd"/>
      <w:r w:rsidRPr="00B07EDC">
        <w:rPr>
          <w:color w:val="58595B"/>
        </w:rPr>
        <w:t xml:space="preserve"> the weight loss drugs, we can potentially tackle two common resolutions: 1) to improve your finances and 2) in doing so</w:t>
      </w:r>
      <w:r w:rsidR="00E41FDB">
        <w:rPr>
          <w:color w:val="58595B"/>
        </w:rPr>
        <w:t>,</w:t>
      </w:r>
      <w:r w:rsidRPr="00B07EDC">
        <w:rPr>
          <w:color w:val="58595B"/>
        </w:rPr>
        <w:t xml:space="preserve"> you will have additional confidence, clarity, and control as we head into 2024.</w:t>
      </w:r>
    </w:p>
    <w:p w14:paraId="3AB02086" w14:textId="77777777" w:rsidR="00F44F93" w:rsidRPr="00B07EDC" w:rsidRDefault="00F44F93" w:rsidP="00F44F93">
      <w:pPr>
        <w:rPr>
          <w:color w:val="58595B"/>
        </w:rPr>
      </w:pPr>
    </w:p>
    <w:p w14:paraId="11DC8E26" w14:textId="0E96CB68" w:rsidR="00F44F93" w:rsidRPr="00B07EDC" w:rsidRDefault="00F44F93" w:rsidP="00F44F93">
      <w:pPr>
        <w:rPr>
          <w:rFonts w:cstheme="minorHAnsi"/>
          <w:color w:val="58595B"/>
          <w:sz w:val="20"/>
          <w:szCs w:val="20"/>
        </w:rPr>
      </w:pPr>
      <w:proofErr w:type="gramStart"/>
      <w:r w:rsidRPr="00B07EDC">
        <w:rPr>
          <w:color w:val="58595B"/>
        </w:rPr>
        <w:t>In particular, I</w:t>
      </w:r>
      <w:proofErr w:type="gramEnd"/>
      <w:r w:rsidRPr="00B07EDC">
        <w:rPr>
          <w:color w:val="58595B"/>
        </w:rPr>
        <w:t xml:space="preserve"> would like to highlight our goals-based planning approach. We do not advise making decisions about your investments or wealth plan based on a one-year forecast. Rather than chase the one-year forecast, </w:t>
      </w:r>
      <w:r w:rsidR="00E41FDB">
        <w:rPr>
          <w:color w:val="58595B"/>
        </w:rPr>
        <w:t>planning on horizons much longer than one year is more effective</w:t>
      </w:r>
      <w:r w:rsidRPr="00B07EDC">
        <w:rPr>
          <w:color w:val="58595B"/>
        </w:rPr>
        <w:t xml:space="preserve"> while managing risk and goals at least annually. We use plausible forward-looking capital markets and stress the probability of success given market uncertainties to keep you on track to realize your life vision.   Instead of chasing the market, chase your dreams with our goals</w:t>
      </w:r>
      <w:r w:rsidR="00E41FDB">
        <w:rPr>
          <w:color w:val="58595B"/>
        </w:rPr>
        <w:t>-</w:t>
      </w:r>
      <w:r w:rsidRPr="00B07EDC">
        <w:rPr>
          <w:color w:val="58595B"/>
        </w:rPr>
        <w:t xml:space="preserve">based planning. </w:t>
      </w:r>
    </w:p>
    <w:p w14:paraId="5545F6A2" w14:textId="77777777" w:rsidR="00F44F93" w:rsidRPr="00B07EDC" w:rsidRDefault="00F44F93" w:rsidP="00F44F93">
      <w:pPr>
        <w:rPr>
          <w:color w:val="58595B"/>
        </w:rPr>
      </w:pPr>
    </w:p>
    <w:p w14:paraId="5EC91F4C" w14:textId="555D446D" w:rsidR="00BD6897" w:rsidRPr="00B07EDC" w:rsidRDefault="00F44F93" w:rsidP="00B07EDC">
      <w:pPr>
        <w:rPr>
          <w:color w:val="58595B"/>
        </w:rPr>
      </w:pPr>
      <w:r w:rsidRPr="00B07EDC">
        <w:rPr>
          <w:color w:val="58595B"/>
        </w:rPr>
        <w:t>I want to wish you a happy and healthy New Year.</w:t>
      </w:r>
      <w:r w:rsidR="00BD6897">
        <w:rPr>
          <w:noProof/>
          <w:color w:val="FFFFFF" w:themeColor="background1"/>
          <w:sz w:val="16"/>
          <w:szCs w:val="16"/>
        </w:rPr>
        <mc:AlternateContent>
          <mc:Choice Requires="wps">
            <w:drawing>
              <wp:anchor distT="0" distB="0" distL="114300" distR="114300" simplePos="0" relativeHeight="251663360" behindDoc="0" locked="0" layoutInCell="1" allowOverlap="1" wp14:anchorId="2A33582F" wp14:editId="3FBFF1A9">
                <wp:simplePos x="0" y="0"/>
                <wp:positionH relativeFrom="column">
                  <wp:posOffset>-70338</wp:posOffset>
                </wp:positionH>
                <wp:positionV relativeFrom="paragraph">
                  <wp:posOffset>161974</wp:posOffset>
                </wp:positionV>
                <wp:extent cx="2083776" cy="351692"/>
                <wp:effectExtent l="0" t="0" r="0" b="0"/>
                <wp:wrapNone/>
                <wp:docPr id="1462019179" name="Rectangle 1"/>
                <wp:cNvGraphicFramePr/>
                <a:graphic xmlns:a="http://schemas.openxmlformats.org/drawingml/2006/main">
                  <a:graphicData uri="http://schemas.microsoft.com/office/word/2010/wordprocessingShape">
                    <wps:wsp>
                      <wps:cNvSpPr/>
                      <wps:spPr>
                        <a:xfrm>
                          <a:off x="0" y="0"/>
                          <a:ext cx="2083776" cy="35169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0AF1A8" id="Rectangle 1" o:spid="_x0000_s1026" style="position:absolute;margin-left:-5.55pt;margin-top:12.75pt;width:164.1pt;height:27.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" fillcolor="white [3212]" stroked="f" strokeweight="2pt"/>
            </w:pict>
          </mc:Fallback>
        </mc:AlternateContent>
      </w:r>
    </w:p>
    <w:p w14:paraId="151FA971" w14:textId="77777777" w:rsidR="00BD6897" w:rsidRDefault="00BD6897" w:rsidP="00D226A9">
      <w:pPr>
        <w:spacing w:after="60"/>
        <w:rPr>
          <w:rFonts w:cstheme="minorHAnsi"/>
          <w:color w:val="58595B"/>
          <w:sz w:val="16"/>
          <w:szCs w:val="16"/>
        </w:rPr>
      </w:pPr>
    </w:p>
    <w:p w14:paraId="6B5A4C21" w14:textId="77777777" w:rsidR="00BD6897" w:rsidRDefault="00BD6897" w:rsidP="00D226A9">
      <w:pPr>
        <w:spacing w:after="60"/>
        <w:rPr>
          <w:rFonts w:cstheme="minorHAnsi"/>
          <w:color w:val="58595B"/>
          <w:sz w:val="16"/>
          <w:szCs w:val="16"/>
        </w:rPr>
      </w:pPr>
    </w:p>
    <w:p w14:paraId="5080F58D" w14:textId="77777777" w:rsidR="00BD6897" w:rsidRDefault="00BD6897" w:rsidP="00D226A9">
      <w:pPr>
        <w:spacing w:after="60"/>
        <w:rPr>
          <w:rFonts w:cstheme="minorHAnsi"/>
          <w:color w:val="58595B"/>
          <w:sz w:val="16"/>
          <w:szCs w:val="16"/>
        </w:rPr>
      </w:pPr>
    </w:p>
    <w:p w14:paraId="04AB7DA7" w14:textId="41F84A5D" w:rsidR="00BD6897" w:rsidRDefault="00B07EDC" w:rsidP="00D226A9">
      <w:pPr>
        <w:spacing w:after="60"/>
        <w:rPr>
          <w:rFonts w:cstheme="minorHAnsi"/>
          <w:color w:val="58595B"/>
          <w:sz w:val="16"/>
          <w:szCs w:val="16"/>
        </w:rPr>
      </w:pPr>
      <w:r>
        <w:rPr>
          <w:rFonts w:cstheme="minorHAnsi"/>
          <w:noProof/>
          <w:color w:val="58595B"/>
          <w:sz w:val="16"/>
          <w:szCs w:val="16"/>
        </w:rPr>
        <mc:AlternateContent>
          <mc:Choice Requires="wps">
            <w:drawing>
              <wp:anchor distT="0" distB="0" distL="114300" distR="114300" simplePos="0" relativeHeight="251667456" behindDoc="0" locked="0" layoutInCell="1" allowOverlap="1" wp14:anchorId="6D49A853" wp14:editId="578D92A2">
                <wp:simplePos x="0" y="0"/>
                <wp:positionH relativeFrom="column">
                  <wp:posOffset>19050</wp:posOffset>
                </wp:positionH>
                <wp:positionV relativeFrom="paragraph">
                  <wp:posOffset>85725</wp:posOffset>
                </wp:positionV>
                <wp:extent cx="1828800" cy="0"/>
                <wp:effectExtent l="0" t="0" r="0" b="0"/>
                <wp:wrapNone/>
                <wp:docPr id="490660835" name="Straight Connector 2"/>
                <wp:cNvGraphicFramePr/>
                <a:graphic xmlns:a="http://schemas.openxmlformats.org/drawingml/2006/main">
                  <a:graphicData uri="http://schemas.microsoft.com/office/word/2010/wordprocessingShape">
                    <wps:wsp>
                      <wps:cNvCnPr/>
                      <wps:spPr>
                        <a:xfrm>
                          <a:off x="0" y="0"/>
                          <a:ext cx="1828800" cy="0"/>
                        </a:xfrm>
                        <a:prstGeom prst="line">
                          <a:avLst/>
                        </a:prstGeom>
                        <a:ln>
                          <a:solidFill>
                            <a:srgbClr val="58595B"/>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35277"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6.75pt" to="14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" strokecolor="#58595b"/>
            </w:pict>
          </mc:Fallback>
        </mc:AlternateContent>
      </w:r>
    </w:p>
    <w:p w14:paraId="17C1B19A" w14:textId="5493457A" w:rsidR="00BD6897" w:rsidRPr="00B07EDC" w:rsidRDefault="00B07EDC" w:rsidP="00D226A9">
      <w:pPr>
        <w:spacing w:after="60"/>
        <w:rPr>
          <w:rFonts w:cstheme="minorHAnsi"/>
          <w:color w:val="58595B"/>
          <w:sz w:val="20"/>
          <w:szCs w:val="20"/>
        </w:rPr>
      </w:pPr>
      <w:r w:rsidRPr="00B07EDC">
        <w:rPr>
          <w:rStyle w:val="FootnoteReference"/>
          <w:color w:val="58595B"/>
          <w:sz w:val="20"/>
          <w:szCs w:val="20"/>
        </w:rPr>
        <w:footnoteRef/>
      </w:r>
      <w:r w:rsidRPr="00B07EDC">
        <w:rPr>
          <w:color w:val="58595B"/>
          <w:sz w:val="20"/>
          <w:szCs w:val="20"/>
        </w:rPr>
        <w:t xml:space="preserve"> https://www.cxoadvisory.com/gurus/</w:t>
      </w:r>
    </w:p>
    <w:p w14:paraId="70EFC8E8" w14:textId="77777777" w:rsidR="00BD6897" w:rsidRDefault="00BD6897" w:rsidP="00D226A9">
      <w:pPr>
        <w:spacing w:after="60"/>
        <w:rPr>
          <w:rFonts w:cstheme="minorHAnsi"/>
          <w:color w:val="58595B"/>
          <w:sz w:val="16"/>
          <w:szCs w:val="16"/>
        </w:rPr>
      </w:pPr>
    </w:p>
    <w:p w14:paraId="42FAB85D" w14:textId="77777777" w:rsidR="00BD6897" w:rsidRDefault="00BD6897" w:rsidP="00D226A9">
      <w:pPr>
        <w:spacing w:after="60"/>
        <w:rPr>
          <w:rFonts w:cstheme="minorHAnsi"/>
          <w:color w:val="58595B"/>
          <w:sz w:val="16"/>
          <w:szCs w:val="16"/>
        </w:rPr>
      </w:pPr>
    </w:p>
    <w:p w14:paraId="3C01EC45" w14:textId="0D21443B"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w:t>
      </w:r>
      <w:r w:rsidR="00E41FDB">
        <w:rPr>
          <w:rFonts w:cstheme="minorHAnsi"/>
          <w:color w:val="58595B"/>
          <w:sz w:val="16"/>
          <w:szCs w:val="16"/>
        </w:rPr>
        <w:t>4</w:t>
      </w:r>
      <w:r w:rsidRPr="00BD6897">
        <w:rPr>
          <w:rFonts w:cstheme="minorHAnsi"/>
          <w:color w:val="58595B"/>
          <w:sz w:val="16"/>
          <w:szCs w:val="16"/>
        </w:rPr>
        <w:t xml:space="preserve">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6233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w:t>
      </w:r>
      <w:proofErr w:type="gramStart"/>
      <w:r w:rsidRPr="00BD6897">
        <w:rPr>
          <w:rFonts w:cstheme="minorHAnsi"/>
          <w:color w:val="58595B"/>
          <w:sz w:val="16"/>
          <w:szCs w:val="16"/>
        </w:rPr>
        <w:t>Information</w:t>
      </w:r>
      <w:proofErr w:type="gramEnd"/>
      <w:r w:rsidRPr="00BD6897">
        <w:rPr>
          <w:rFonts w:cstheme="minorHAnsi"/>
          <w:color w:val="58595B"/>
          <w:sz w:val="16"/>
          <w:szCs w:val="16"/>
        </w:rPr>
        <w:t xml:space="preserve"> contained herein is at a point in time and subject to change without notice. Information is derived from sources which are believed to be </w:t>
      </w:r>
      <w:proofErr w:type="gramStart"/>
      <w:r w:rsidRPr="00BD6897">
        <w:rPr>
          <w:rFonts w:cstheme="minorHAnsi"/>
          <w:color w:val="58595B"/>
          <w:sz w:val="16"/>
          <w:szCs w:val="16"/>
        </w:rPr>
        <w:t>reliable, but</w:t>
      </w:r>
      <w:proofErr w:type="gramEnd"/>
      <w:r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3118D16B" w14:textId="057BEFEB" w:rsidR="00B07EDC" w:rsidRPr="00B07EDC" w:rsidRDefault="00B07EDC" w:rsidP="00B07EDC">
      <w:pPr>
        <w:tabs>
          <w:tab w:val="left" w:pos="3000"/>
        </w:tabs>
        <w:jc w:val="center"/>
        <w:rPr>
          <w:rStyle w:val="normaltextrun"/>
          <w:rFonts w:eastAsia="Proxima Nova Rg" w:cs="Proxima Nova Rg"/>
          <w:caps/>
          <w:color w:val="58595B"/>
          <w:sz w:val="24"/>
          <w:szCs w:val="16"/>
        </w:rPr>
      </w:pPr>
      <w:r>
        <w:rPr>
          <w:rFonts w:eastAsia="Proxima Nova Rg" w:cs="Proxima Nova Rg"/>
          <w:caps/>
          <w:noProof/>
          <w:color w:val="58595B"/>
          <w:sz w:val="24"/>
          <w:szCs w:val="16"/>
        </w:rPr>
        <mc:AlternateContent>
          <mc:Choice Requires="wps">
            <w:drawing>
              <wp:anchor distT="0" distB="0" distL="114300" distR="114300" simplePos="0" relativeHeight="251666432" behindDoc="0" locked="0" layoutInCell="1" allowOverlap="1" wp14:anchorId="7EAFB0BB" wp14:editId="4FCECC51">
                <wp:simplePos x="0" y="0"/>
                <wp:positionH relativeFrom="column">
                  <wp:posOffset>-95250</wp:posOffset>
                </wp:positionH>
                <wp:positionV relativeFrom="paragraph">
                  <wp:posOffset>265430</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96808" id="Rectangle 1" o:spid="_x0000_s1026" style="position:absolute;margin-left:-7.5pt;margin-top:20.9pt;width:160.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" fillcolor="white [3212]" stroked="f" strokeweight="2pt"/>
            </w:pict>
          </mc:Fallback>
        </mc:AlternateContent>
      </w:r>
      <w:r w:rsidR="006D7D2C" w:rsidRPr="002D4A72">
        <w:rPr>
          <w:rFonts w:eastAsia="Proxima Nova Rg" w:cs="Proxima Nova Rg"/>
          <w:caps/>
          <w:color w:val="58595B"/>
          <w:sz w:val="24"/>
          <w:szCs w:val="16"/>
        </w:rPr>
        <w:t>Wealthcaregdx.com</w:t>
      </w:r>
    </w:p>
    <w:sectPr w:rsidR="00B07EDC" w:rsidRPr="00B07EDC" w:rsidSect="00A4402B">
      <w:headerReference w:type="default" r:id="rId19"/>
      <w:footerReference w:type="default" r:id="rId20"/>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C13B" w14:textId="77777777" w:rsidR="009369CF" w:rsidRDefault="009369CF">
      <w:r>
        <w:separator/>
      </w:r>
    </w:p>
  </w:endnote>
  <w:endnote w:type="continuationSeparator" w:id="0">
    <w:p w14:paraId="1357A16D" w14:textId="77777777" w:rsidR="009369CF" w:rsidRDefault="0093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BBA5" w14:textId="77777777" w:rsidR="009369CF" w:rsidRDefault="009369CF">
      <w:r>
        <w:separator/>
      </w:r>
    </w:p>
  </w:footnote>
  <w:footnote w:type="continuationSeparator" w:id="0">
    <w:p w14:paraId="22DD4574" w14:textId="77777777" w:rsidR="009369CF" w:rsidRDefault="009369CF">
      <w:r>
        <w:continuationSeparator/>
      </w:r>
    </w:p>
  </w:footnote>
  <w:footnote w:id="1">
    <w:p w14:paraId="21F55B30" w14:textId="3D006E46" w:rsidR="00F44F93" w:rsidRDefault="00F44F93" w:rsidP="00F44F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20479"/>
    <w:multiLevelType w:val="hybridMultilevel"/>
    <w:tmpl w:val="EC9F1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80E68"/>
    <w:multiLevelType w:val="hybridMultilevel"/>
    <w:tmpl w:val="BD9EFDFA"/>
    <w:lvl w:ilvl="0" w:tplc="EA127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0B2E70"/>
    <w:multiLevelType w:val="hybridMultilevel"/>
    <w:tmpl w:val="D8944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E00C2"/>
    <w:multiLevelType w:val="hybridMultilevel"/>
    <w:tmpl w:val="690A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DEB"/>
    <w:multiLevelType w:val="hybridMultilevel"/>
    <w:tmpl w:val="2F1C9B7E"/>
    <w:lvl w:ilvl="0" w:tplc="E3885A28">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E4A"/>
    <w:multiLevelType w:val="hybridMultilevel"/>
    <w:tmpl w:val="69C42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3997"/>
    <w:multiLevelType w:val="hybridMultilevel"/>
    <w:tmpl w:val="5377E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A023E"/>
    <w:multiLevelType w:val="hybridMultilevel"/>
    <w:tmpl w:val="8DE86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C3B99"/>
    <w:multiLevelType w:val="hybridMultilevel"/>
    <w:tmpl w:val="58040628"/>
    <w:lvl w:ilvl="0" w:tplc="95324E16">
      <w:start w:val="1"/>
      <w:numFmt w:val="decimal"/>
      <w:lvlText w:val="%1)"/>
      <w:lvlJc w:val="left"/>
      <w:pPr>
        <w:ind w:left="720" w:hanging="360"/>
      </w:pPr>
      <w:rPr>
        <w:rFonts w:hint="default"/>
        <w:b/>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3A4B6C"/>
    <w:multiLevelType w:val="hybridMultilevel"/>
    <w:tmpl w:val="8DE8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42B69"/>
    <w:multiLevelType w:val="hybridMultilevel"/>
    <w:tmpl w:val="4F747A8C"/>
    <w:lvl w:ilvl="0" w:tplc="53A08C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C4F74"/>
    <w:multiLevelType w:val="hybridMultilevel"/>
    <w:tmpl w:val="A1A83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D122A"/>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C75DB"/>
    <w:multiLevelType w:val="hybridMultilevel"/>
    <w:tmpl w:val="51E892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7" w15:restartNumberingAfterBreak="0">
    <w:nsid w:val="42C369E8"/>
    <w:multiLevelType w:val="hybridMultilevel"/>
    <w:tmpl w:val="99840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161C97"/>
    <w:multiLevelType w:val="hybridMultilevel"/>
    <w:tmpl w:val="317E1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92DF9"/>
    <w:multiLevelType w:val="hybridMultilevel"/>
    <w:tmpl w:val="C6CC2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0F593A"/>
    <w:multiLevelType w:val="hybridMultilevel"/>
    <w:tmpl w:val="A67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05070"/>
    <w:multiLevelType w:val="hybridMultilevel"/>
    <w:tmpl w:val="10E9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91EBF"/>
    <w:multiLevelType w:val="hybridMultilevel"/>
    <w:tmpl w:val="47423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027786"/>
    <w:multiLevelType w:val="hybridMultilevel"/>
    <w:tmpl w:val="989ABD96"/>
    <w:lvl w:ilvl="0" w:tplc="29FCF9A4">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0" w15:restartNumberingAfterBreak="0">
    <w:nsid w:val="618167D5"/>
    <w:multiLevelType w:val="hybridMultilevel"/>
    <w:tmpl w:val="BF5E1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2" w15:restartNumberingAfterBreak="0">
    <w:nsid w:val="64AB4679"/>
    <w:multiLevelType w:val="hybridMultilevel"/>
    <w:tmpl w:val="9264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94DF9"/>
    <w:multiLevelType w:val="hybridMultilevel"/>
    <w:tmpl w:val="5B2035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74003"/>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12575"/>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1">
    <w:abstractNumId w:val="36"/>
  </w:num>
  <w:num w:numId="2" w16cid:durableId="298078590">
    <w:abstractNumId w:val="26"/>
  </w:num>
  <w:num w:numId="3" w16cid:durableId="2122533199">
    <w:abstractNumId w:val="41"/>
  </w:num>
  <w:num w:numId="4" w16cid:durableId="846560734">
    <w:abstractNumId w:val="2"/>
  </w:num>
  <w:num w:numId="5" w16cid:durableId="3753219">
    <w:abstractNumId w:val="37"/>
  </w:num>
  <w:num w:numId="6" w16cid:durableId="1434134267">
    <w:abstractNumId w:val="39"/>
  </w:num>
  <w:num w:numId="7" w16cid:durableId="574702125">
    <w:abstractNumId w:val="48"/>
  </w:num>
  <w:num w:numId="8" w16cid:durableId="307637968">
    <w:abstractNumId w:val="31"/>
  </w:num>
  <w:num w:numId="9" w16cid:durableId="1698847105">
    <w:abstractNumId w:val="3"/>
  </w:num>
  <w:num w:numId="10" w16cid:durableId="1115097534">
    <w:abstractNumId w:val="14"/>
  </w:num>
  <w:num w:numId="11" w16cid:durableId="1693065977">
    <w:abstractNumId w:val="7"/>
  </w:num>
  <w:num w:numId="12" w16cid:durableId="899638018">
    <w:abstractNumId w:val="12"/>
  </w:num>
  <w:num w:numId="13" w16cid:durableId="825516068">
    <w:abstractNumId w:val="30"/>
  </w:num>
  <w:num w:numId="14" w16cid:durableId="1423262903">
    <w:abstractNumId w:val="49"/>
  </w:num>
  <w:num w:numId="15" w16cid:durableId="1502354591">
    <w:abstractNumId w:val="47"/>
  </w:num>
  <w:num w:numId="16" w16cid:durableId="593704893">
    <w:abstractNumId w:val="21"/>
  </w:num>
  <w:num w:numId="17" w16cid:durableId="265310388">
    <w:abstractNumId w:val="43"/>
  </w:num>
  <w:num w:numId="18" w16cid:durableId="1090199958">
    <w:abstractNumId w:val="24"/>
  </w:num>
  <w:num w:numId="19" w16cid:durableId="1861699692">
    <w:abstractNumId w:val="18"/>
  </w:num>
  <w:num w:numId="20" w16cid:durableId="1758863287">
    <w:abstractNumId w:val="6"/>
  </w:num>
  <w:num w:numId="21" w16cid:durableId="1207447191">
    <w:abstractNumId w:val="5"/>
  </w:num>
  <w:num w:numId="22" w16cid:durableId="1321077709">
    <w:abstractNumId w:val="34"/>
  </w:num>
  <w:num w:numId="23" w16cid:durableId="1519081393">
    <w:abstractNumId w:val="15"/>
  </w:num>
  <w:num w:numId="24" w16cid:durableId="1868173849">
    <w:abstractNumId w:val="16"/>
  </w:num>
  <w:num w:numId="25" w16cid:durableId="251621163">
    <w:abstractNumId w:val="8"/>
  </w:num>
  <w:num w:numId="26" w16cid:durableId="1213687620">
    <w:abstractNumId w:val="33"/>
  </w:num>
  <w:num w:numId="27" w16cid:durableId="1935475734">
    <w:abstractNumId w:val="11"/>
  </w:num>
  <w:num w:numId="28" w16cid:durableId="900017643">
    <w:abstractNumId w:val="0"/>
  </w:num>
  <w:num w:numId="29" w16cid:durableId="1727874495">
    <w:abstractNumId w:val="10"/>
  </w:num>
  <w:num w:numId="30" w16cid:durableId="603877683">
    <w:abstractNumId w:val="23"/>
  </w:num>
  <w:num w:numId="31" w16cid:durableId="1855069441">
    <w:abstractNumId w:val="45"/>
  </w:num>
  <w:num w:numId="32" w16cid:durableId="1512185552">
    <w:abstractNumId w:val="46"/>
  </w:num>
  <w:num w:numId="33" w16cid:durableId="469708696">
    <w:abstractNumId w:val="9"/>
  </w:num>
  <w:num w:numId="34" w16cid:durableId="1521823301">
    <w:abstractNumId w:val="28"/>
  </w:num>
  <w:num w:numId="35" w16cid:durableId="2128232698">
    <w:abstractNumId w:val="22"/>
  </w:num>
  <w:num w:numId="36" w16cid:durableId="2099324741">
    <w:abstractNumId w:val="38"/>
  </w:num>
  <w:num w:numId="37" w16cid:durableId="169681911">
    <w:abstractNumId w:val="42"/>
  </w:num>
  <w:num w:numId="38" w16cid:durableId="931362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988565">
    <w:abstractNumId w:val="44"/>
  </w:num>
  <w:num w:numId="40" w16cid:durableId="521287095">
    <w:abstractNumId w:val="29"/>
  </w:num>
  <w:num w:numId="41" w16cid:durableId="1693529323">
    <w:abstractNumId w:val="25"/>
  </w:num>
  <w:num w:numId="42" w16cid:durableId="1131443007">
    <w:abstractNumId w:val="1"/>
  </w:num>
  <w:num w:numId="43" w16cid:durableId="1668631653">
    <w:abstractNumId w:val="20"/>
  </w:num>
  <w:num w:numId="44" w16cid:durableId="1575508262">
    <w:abstractNumId w:val="32"/>
  </w:num>
  <w:num w:numId="45" w16cid:durableId="51271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294929">
    <w:abstractNumId w:val="4"/>
  </w:num>
  <w:num w:numId="47" w16cid:durableId="403644070">
    <w:abstractNumId w:val="17"/>
  </w:num>
  <w:num w:numId="48" w16cid:durableId="121076482">
    <w:abstractNumId w:val="40"/>
  </w:num>
  <w:num w:numId="49" w16cid:durableId="482161985">
    <w:abstractNumId w:val="19"/>
  </w:num>
  <w:num w:numId="50" w16cid:durableId="987591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NKkFAHPqKw4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B097C"/>
    <w:rsid w:val="000B1F1D"/>
    <w:rsid w:val="000B33F0"/>
    <w:rsid w:val="000B480D"/>
    <w:rsid w:val="000C2111"/>
    <w:rsid w:val="000C7EEE"/>
    <w:rsid w:val="000D0CAB"/>
    <w:rsid w:val="000D15E8"/>
    <w:rsid w:val="000E31FF"/>
    <w:rsid w:val="000E6D97"/>
    <w:rsid w:val="000E7185"/>
    <w:rsid w:val="000F368D"/>
    <w:rsid w:val="00100F10"/>
    <w:rsid w:val="00103C96"/>
    <w:rsid w:val="00104161"/>
    <w:rsid w:val="001177D9"/>
    <w:rsid w:val="00117FE0"/>
    <w:rsid w:val="001220F1"/>
    <w:rsid w:val="001239DF"/>
    <w:rsid w:val="00123D97"/>
    <w:rsid w:val="00126239"/>
    <w:rsid w:val="001265D3"/>
    <w:rsid w:val="0013194F"/>
    <w:rsid w:val="00132877"/>
    <w:rsid w:val="001358E4"/>
    <w:rsid w:val="001362FA"/>
    <w:rsid w:val="001412B4"/>
    <w:rsid w:val="001417C0"/>
    <w:rsid w:val="00144645"/>
    <w:rsid w:val="00147B3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F3C"/>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73DE"/>
    <w:rsid w:val="002379CD"/>
    <w:rsid w:val="0024403A"/>
    <w:rsid w:val="002456D2"/>
    <w:rsid w:val="00247C93"/>
    <w:rsid w:val="00250C3F"/>
    <w:rsid w:val="00253473"/>
    <w:rsid w:val="00254906"/>
    <w:rsid w:val="0025490D"/>
    <w:rsid w:val="00257683"/>
    <w:rsid w:val="002605D2"/>
    <w:rsid w:val="00260AAA"/>
    <w:rsid w:val="00267230"/>
    <w:rsid w:val="002726E8"/>
    <w:rsid w:val="00272770"/>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E32E8"/>
    <w:rsid w:val="002F33BD"/>
    <w:rsid w:val="002F4672"/>
    <w:rsid w:val="002F76FF"/>
    <w:rsid w:val="00301A6F"/>
    <w:rsid w:val="003044A4"/>
    <w:rsid w:val="003047D1"/>
    <w:rsid w:val="003068FF"/>
    <w:rsid w:val="00310271"/>
    <w:rsid w:val="0031043D"/>
    <w:rsid w:val="00311800"/>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F1D20"/>
    <w:rsid w:val="005F3547"/>
    <w:rsid w:val="005F4495"/>
    <w:rsid w:val="005F50AB"/>
    <w:rsid w:val="005F5E0B"/>
    <w:rsid w:val="006017C4"/>
    <w:rsid w:val="006047E9"/>
    <w:rsid w:val="0060784E"/>
    <w:rsid w:val="006100D9"/>
    <w:rsid w:val="00611019"/>
    <w:rsid w:val="00611C61"/>
    <w:rsid w:val="00612B4F"/>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176C"/>
    <w:rsid w:val="0068201F"/>
    <w:rsid w:val="006820BA"/>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1EB4"/>
    <w:rsid w:val="007A3108"/>
    <w:rsid w:val="007A3F77"/>
    <w:rsid w:val="007A52F8"/>
    <w:rsid w:val="007A6DBD"/>
    <w:rsid w:val="007A7A65"/>
    <w:rsid w:val="007B4A6A"/>
    <w:rsid w:val="007B7DB3"/>
    <w:rsid w:val="007C15ED"/>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0E3B"/>
    <w:rsid w:val="00804960"/>
    <w:rsid w:val="008106EB"/>
    <w:rsid w:val="0081161F"/>
    <w:rsid w:val="00814E3F"/>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69CF"/>
    <w:rsid w:val="0093784B"/>
    <w:rsid w:val="00941B78"/>
    <w:rsid w:val="00941C56"/>
    <w:rsid w:val="009421C4"/>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246F"/>
    <w:rsid w:val="00C24E4A"/>
    <w:rsid w:val="00C2525D"/>
    <w:rsid w:val="00C25931"/>
    <w:rsid w:val="00C263BB"/>
    <w:rsid w:val="00C31AE8"/>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4B7"/>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3977"/>
    <w:rsid w:val="00E16D1E"/>
    <w:rsid w:val="00E17038"/>
    <w:rsid w:val="00E17B6F"/>
    <w:rsid w:val="00E217E6"/>
    <w:rsid w:val="00E21803"/>
    <w:rsid w:val="00E228E9"/>
    <w:rsid w:val="00E317DA"/>
    <w:rsid w:val="00E40938"/>
    <w:rsid w:val="00E41FDB"/>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5F53"/>
    <w:rsid w:val="00ED749C"/>
    <w:rsid w:val="00EE24FC"/>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A28"/>
    <w:rsid w:val="00F9492C"/>
    <w:rsid w:val="00F96FDC"/>
    <w:rsid w:val="00F97EE9"/>
    <w:rsid w:val="00FA099B"/>
    <w:rsid w:val="00FA4D01"/>
    <w:rsid w:val="00FA6D95"/>
    <w:rsid w:val="00FB25FA"/>
    <w:rsid w:val="00FB430F"/>
    <w:rsid w:val="00FB61C6"/>
    <w:rsid w:val="00FB6530"/>
    <w:rsid w:val="00FC366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FA5BE-2420-4316-9144-B07CECE0B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4.xml><?xml version="1.0" encoding="utf-8"?>
<ds:datastoreItem xmlns:ds="http://schemas.openxmlformats.org/officeDocument/2006/customXml" ds:itemID="{A50F763A-1A26-4BE5-BFC1-746ACF2EE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827</Words>
  <Characters>4420</Characters>
  <Application>Microsoft Office Word</Application>
  <DocSecurity>0</DocSecurity>
  <Lines>126</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57</cp:revision>
  <cp:lastPrinted>2024-01-05T17:15:00Z</cp:lastPrinted>
  <dcterms:created xsi:type="dcterms:W3CDTF">2023-04-14T16:37:00Z</dcterms:created>
  <dcterms:modified xsi:type="dcterms:W3CDTF">2024-01-05T17:33:00Z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