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F4777" w14:textId="4CF027D2" w:rsidR="00CE7DF2" w:rsidRPr="004D480C" w:rsidRDefault="00116740" w:rsidP="00BF0243">
      <w:pPr>
        <w:rPr>
          <w:rFonts w:eastAsia="Times New Roman" w:cstheme="minorHAnsi"/>
          <w:sz w:val="20"/>
          <w:szCs w:val="20"/>
        </w:rPr>
      </w:pPr>
      <w:bookmarkStart w:id="0" w:name="_Hlk33428732"/>
      <w:bookmarkEnd w:id="0"/>
      <w:r w:rsidRPr="004D480C">
        <w:rPr>
          <w:rFonts w:cstheme="minorHAnsi"/>
          <w:noProof/>
        </w:rPr>
        <mc:AlternateContent>
          <mc:Choice Requires="wps">
            <w:drawing>
              <wp:anchor distT="0" distB="0" distL="114300" distR="114300" simplePos="0" relativeHeight="251658241" behindDoc="0" locked="0" layoutInCell="1" allowOverlap="1" wp14:anchorId="498CF9BA" wp14:editId="10DB0A66">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v:textbox>
              </v:shape>
            </w:pict>
          </mc:Fallback>
        </mc:AlternateContent>
      </w:r>
      <w:r w:rsidR="002640B5" w:rsidRPr="004D480C">
        <w:rPr>
          <w:rFonts w:eastAsia="Times New Roman" w:cstheme="minorHAnsi"/>
          <w:noProof/>
          <w:color w:val="58595B"/>
          <w:sz w:val="20"/>
          <w:szCs w:val="20"/>
        </w:rPr>
        <mc:AlternateContent>
          <mc:Choice Requires="wps">
            <w:drawing>
              <wp:anchor distT="0" distB="0" distL="114300" distR="114300" simplePos="0" relativeHeight="251658242" behindDoc="0" locked="0" layoutInCell="1" allowOverlap="1" wp14:anchorId="498CF9B8" wp14:editId="4E7D352E">
                <wp:simplePos x="0" y="0"/>
                <wp:positionH relativeFrom="column">
                  <wp:posOffset>4809309</wp:posOffset>
                </wp:positionH>
                <wp:positionV relativeFrom="paragraph">
                  <wp:posOffset>-520700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pt;margin-top:-41pt;width:244.8pt;height:20.65pt;z-index:25165824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r w:rsidR="001C50E7" w:rsidRPr="004D480C">
        <w:rPr>
          <w:rFonts w:cstheme="minorHAnsi"/>
          <w:noProof/>
        </w:rPr>
        <mc:AlternateContent>
          <mc:Choice Requires="wpg">
            <w:drawing>
              <wp:anchor distT="0" distB="0" distL="114300" distR="114300" simplePos="0" relativeHeight="251658240" behindDoc="0" locked="0" layoutInCell="1" allowOverlap="1" wp14:anchorId="498CF9B6" wp14:editId="4D004D36">
                <wp:simplePos x="0" y="0"/>
                <wp:positionH relativeFrom="page">
                  <wp:posOffset>0</wp:posOffset>
                </wp:positionH>
                <wp:positionV relativeFrom="page">
                  <wp:posOffset>0</wp:posOffset>
                </wp:positionV>
                <wp:extent cx="7772400" cy="8242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7C55C0" id="Group 10" o:spid="_x0000_s1026" style="position:absolute;margin-left:0;margin-top:0;width:612pt;height:64.9pt;z-index:251658240;mso-position-horizontal-relative:page;mso-position-vertical-relative:page"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page" anchory="page"/>
              </v:group>
            </w:pict>
          </mc:Fallback>
        </mc:AlternateContent>
      </w:r>
    </w:p>
    <w:p w14:paraId="73DA7D01" w14:textId="77777777" w:rsidR="00CE7DF2" w:rsidRPr="004D480C" w:rsidRDefault="00CE7DF2" w:rsidP="00BF0243">
      <w:pPr>
        <w:shd w:val="clear" w:color="auto" w:fill="FFFFFF"/>
        <w:rPr>
          <w:rFonts w:eastAsia="Times New Roman" w:cstheme="minorHAnsi"/>
          <w:b/>
          <w:bCs/>
          <w:color w:val="000000"/>
          <w:sz w:val="32"/>
          <w:szCs w:val="32"/>
        </w:rPr>
      </w:pPr>
    </w:p>
    <w:p w14:paraId="498CF986" w14:textId="7B38D92B" w:rsidR="00310271" w:rsidRPr="004D480C" w:rsidRDefault="007B5170" w:rsidP="00BF0243">
      <w:pPr>
        <w:ind w:left="720"/>
        <w:rPr>
          <w:rFonts w:eastAsia="Proxima Nova Light" w:cstheme="minorHAnsi"/>
          <w:color w:val="005EA4"/>
          <w:sz w:val="44"/>
          <w:szCs w:val="44"/>
        </w:rPr>
      </w:pPr>
      <w:r>
        <w:rPr>
          <w:rFonts w:eastAsia="Times New Roman" w:cstheme="minorHAnsi"/>
          <w:b/>
          <w:bCs/>
          <w:color w:val="005EA4"/>
          <w:sz w:val="44"/>
          <w:szCs w:val="44"/>
        </w:rPr>
        <w:t>June</w:t>
      </w:r>
      <w:r w:rsidR="003320FC" w:rsidRPr="004D480C">
        <w:rPr>
          <w:rFonts w:eastAsia="Times New Roman" w:cstheme="minorHAnsi"/>
          <w:b/>
          <w:bCs/>
          <w:color w:val="005EA4"/>
          <w:sz w:val="44"/>
          <w:szCs w:val="44"/>
        </w:rPr>
        <w:t xml:space="preserve"> </w:t>
      </w:r>
      <w:r w:rsidR="00C309DD" w:rsidRPr="004D480C">
        <w:rPr>
          <w:rFonts w:eastAsia="Times New Roman" w:cstheme="minorHAnsi"/>
          <w:b/>
          <w:bCs/>
          <w:color w:val="005EA4"/>
          <w:sz w:val="44"/>
          <w:szCs w:val="44"/>
        </w:rPr>
        <w:t>202</w:t>
      </w:r>
      <w:r w:rsidR="009B1563">
        <w:rPr>
          <w:rFonts w:eastAsia="Times New Roman" w:cstheme="minorHAnsi"/>
          <w:b/>
          <w:bCs/>
          <w:color w:val="005EA4"/>
          <w:sz w:val="44"/>
          <w:szCs w:val="44"/>
        </w:rPr>
        <w:t>4</w:t>
      </w:r>
      <w:r w:rsidR="00CE7DF2" w:rsidRPr="004D480C">
        <w:rPr>
          <w:rFonts w:eastAsia="Times New Roman" w:cstheme="minorHAnsi"/>
          <w:b/>
          <w:bCs/>
          <w:color w:val="005EA4"/>
          <w:sz w:val="44"/>
          <w:szCs w:val="44"/>
        </w:rPr>
        <w:t xml:space="preserve"> Market </w:t>
      </w:r>
      <w:r w:rsidR="00834733" w:rsidRPr="004D480C">
        <w:rPr>
          <w:rFonts w:eastAsia="Times New Roman" w:cstheme="minorHAnsi"/>
          <w:b/>
          <w:bCs/>
          <w:color w:val="005EA4"/>
          <w:sz w:val="44"/>
          <w:szCs w:val="44"/>
        </w:rPr>
        <w:t>Recap</w:t>
      </w:r>
      <w:r w:rsidR="00CE7DF2" w:rsidRPr="004D480C">
        <w:rPr>
          <w:rFonts w:eastAsia="Times New Roman" w:cstheme="minorHAnsi"/>
          <w:b/>
          <w:bCs/>
          <w:color w:val="005EA4"/>
          <w:sz w:val="44"/>
          <w:szCs w:val="44"/>
        </w:rPr>
        <w:t xml:space="preserve"> </w:t>
      </w:r>
    </w:p>
    <w:p w14:paraId="498CF98A" w14:textId="77777777" w:rsidR="00FD5531" w:rsidRPr="004D480C" w:rsidRDefault="001C50E7" w:rsidP="00BF0243">
      <w:pPr>
        <w:pStyle w:val="BodyText"/>
        <w:ind w:left="0" w:right="730"/>
        <w:rPr>
          <w:rFonts w:asciiTheme="minorHAnsi" w:hAnsiTheme="minorHAnsi" w:cstheme="minorHAnsi"/>
          <w:color w:val="0070C0"/>
          <w:sz w:val="32"/>
        </w:rPr>
        <w:sectPr w:rsidR="00FD5531" w:rsidRPr="004D480C" w:rsidSect="00FC7D0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0" w:right="0" w:bottom="0" w:left="0" w:header="720" w:footer="720" w:gutter="0"/>
          <w:cols w:space="720"/>
        </w:sectPr>
      </w:pPr>
      <w:r w:rsidRPr="004D480C">
        <w:rPr>
          <w:rFonts w:asciiTheme="minorHAnsi" w:eastAsia="Proxima Nova Light" w:hAnsiTheme="minorHAnsi" w:cstheme="minorHAnsi"/>
          <w:noProof/>
          <w:sz w:val="11"/>
          <w:szCs w:val="11"/>
        </w:rPr>
        <mc:AlternateContent>
          <mc:Choice Requires="wpg">
            <w:drawing>
              <wp:anchor distT="0" distB="0" distL="114300" distR="114300" simplePos="0" relativeHeight="251658243"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C670DB5" id="Group 17" o:spid="_x0000_s1026" style="position:absolute;margin-left:0;margin-top:16.1pt;width:612pt;height:5.8pt;z-index:251658243"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498CF98C" w14:textId="77777777" w:rsidR="00723E52" w:rsidRPr="004D480C" w:rsidRDefault="00723E52" w:rsidP="00513DD7">
      <w:pPr>
        <w:ind w:left="-630"/>
        <w:rPr>
          <w:rFonts w:cstheme="minorHAnsi"/>
          <w:sz w:val="21"/>
          <w:szCs w:val="21"/>
        </w:rPr>
      </w:pPr>
    </w:p>
    <w:p w14:paraId="6F662416" w14:textId="77777777" w:rsidR="007B5170" w:rsidRPr="007B5170" w:rsidRDefault="007B5170" w:rsidP="007B5170">
      <w:pPr>
        <w:rPr>
          <w:rFonts w:eastAsia="Avenir" w:cstheme="minorHAnsi"/>
          <w:color w:val="58595B"/>
        </w:rPr>
      </w:pPr>
      <w:r w:rsidRPr="007B5170">
        <w:rPr>
          <w:rFonts w:eastAsia="Avenir" w:cstheme="minorHAnsi"/>
          <w:color w:val="58595B"/>
        </w:rPr>
        <w:t xml:space="preserve">The stock market continued to climb in June as investors flocked to US equities. All three major stock indexes posted new record levels, buoyed by positive economic reports and increasing interest in AI-driven companies. Despite the positive outlook for US growth, consumer spending has weakened. Other headwinds include a mixed consumer confidence report and a housing market that’s still in search of sustained sales. </w:t>
      </w:r>
    </w:p>
    <w:p w14:paraId="7BABA9F4" w14:textId="4FDAA630" w:rsidR="00962FF6" w:rsidRPr="001470E4" w:rsidRDefault="00316D34" w:rsidP="00962FF6">
      <w:pPr>
        <w:pStyle w:val="Heading2"/>
        <w:ind w:right="360"/>
        <w:rPr>
          <w:rFonts w:asciiTheme="minorHAnsi" w:eastAsia="Avenir" w:hAnsiTheme="minorHAnsi" w:cstheme="minorHAnsi"/>
          <w:color w:val="005EA4"/>
        </w:rPr>
      </w:pPr>
      <w:r w:rsidRPr="001470E4">
        <w:rPr>
          <w:rFonts w:asciiTheme="minorHAnsi" w:eastAsia="Avenir" w:hAnsiTheme="minorHAnsi" w:cstheme="minorHAnsi"/>
          <w:color w:val="005EA4"/>
        </w:rPr>
        <w:t>Market</w:t>
      </w:r>
      <w:r w:rsidR="00BA4143">
        <w:rPr>
          <w:rFonts w:asciiTheme="minorHAnsi" w:eastAsia="Avenir" w:hAnsiTheme="minorHAnsi" w:cstheme="minorHAnsi"/>
          <w:color w:val="005EA4"/>
        </w:rPr>
        <w:t xml:space="preserve"> Surging Higher</w:t>
      </w:r>
    </w:p>
    <w:p w14:paraId="71C2EC42" w14:textId="77777777" w:rsidR="0010115C" w:rsidRPr="0010115C" w:rsidRDefault="0010115C" w:rsidP="0010115C">
      <w:pPr>
        <w:rPr>
          <w:rFonts w:eastAsia="Avenir" w:cstheme="minorHAnsi"/>
          <w:color w:val="58595B"/>
        </w:rPr>
      </w:pPr>
      <w:r w:rsidRPr="0010115C">
        <w:rPr>
          <w:rFonts w:eastAsia="Avenir" w:cstheme="minorHAnsi"/>
          <w:color w:val="58595B"/>
        </w:rPr>
        <w:t xml:space="preserve">The tech-heavy NASDAQ Composite Index (COMP) led the widespread stock surge last month, gaining 6%. The broad market S&amp;P 500® (SPX) and Dow Jones Industrial Average® (DJIA) were also up in June, climbing 3.5% and 1.1%, respectively. June’s gains punctuated a strong first half of the year, during which the COMP was up 18.1%, the SPX was up 14.5%, and the DJIA was up 3.8%. </w:t>
      </w:r>
    </w:p>
    <w:p w14:paraId="025B983A" w14:textId="77777777" w:rsidR="0010115C" w:rsidRPr="0010115C" w:rsidRDefault="0010115C" w:rsidP="0010115C">
      <w:pPr>
        <w:rPr>
          <w:rFonts w:eastAsia="Avenir" w:cstheme="minorHAnsi"/>
          <w:color w:val="58595B"/>
        </w:rPr>
      </w:pPr>
    </w:p>
    <w:p w14:paraId="5DEE922A" w14:textId="77777777" w:rsidR="0010115C" w:rsidRPr="0010115C" w:rsidRDefault="0010115C" w:rsidP="0010115C">
      <w:pPr>
        <w:rPr>
          <w:rFonts w:eastAsia="Avenir" w:cstheme="minorHAnsi"/>
          <w:color w:val="58595B"/>
        </w:rPr>
      </w:pPr>
      <w:r w:rsidRPr="0010115C">
        <w:rPr>
          <w:rFonts w:eastAsia="Avenir" w:cstheme="minorHAnsi"/>
          <w:color w:val="58595B"/>
        </w:rPr>
        <w:t>This positive momentum was driven by strong economic reports on the employment, growth, and inflation fronts, as well as continued hype surrounding Artificial Intelligence applications across various fields. Also contributing to surging stock prices is the belief among investors that the Fed will likely begin lowering interest rates before year-end, most likely in September.</w:t>
      </w:r>
    </w:p>
    <w:p w14:paraId="7685076C" w14:textId="77777777" w:rsidR="00442743" w:rsidRPr="001470E4" w:rsidRDefault="00442743" w:rsidP="00962FF6">
      <w:pPr>
        <w:ind w:right="360"/>
        <w:rPr>
          <w:rFonts w:eastAsia="Avenir" w:cstheme="minorHAnsi"/>
        </w:rPr>
      </w:pPr>
    </w:p>
    <w:p w14:paraId="05ED51C6" w14:textId="31D4A9EA" w:rsidR="00962FF6" w:rsidRPr="001470E4" w:rsidRDefault="0080555E" w:rsidP="00714486">
      <w:pPr>
        <w:ind w:right="360"/>
        <w:jc w:val="center"/>
        <w:rPr>
          <w:rFonts w:eastAsia="Avenir" w:cstheme="minorHAnsi"/>
        </w:rPr>
      </w:pPr>
      <w:r>
        <w:rPr>
          <w:rFonts w:ascii="Avenir" w:eastAsia="Avenir" w:hAnsi="Avenir" w:cs="Avenir"/>
          <w:noProof/>
        </w:rPr>
        <w:drawing>
          <wp:inline distT="114300" distB="114300" distL="114300" distR="114300" wp14:anchorId="46875551" wp14:editId="47284E32">
            <wp:extent cx="5943600" cy="3708400"/>
            <wp:effectExtent l="0" t="0" r="0" b="0"/>
            <wp:docPr id="1176217309" name="image1.png" descr="A graph with a line&#10;&#10;Description automatically generated"/>
            <wp:cNvGraphicFramePr/>
            <a:graphic xmlns:a="http://schemas.openxmlformats.org/drawingml/2006/main">
              <a:graphicData uri="http://schemas.openxmlformats.org/drawingml/2006/picture">
                <pic:pic xmlns:pic="http://schemas.openxmlformats.org/drawingml/2006/picture">
                  <pic:nvPicPr>
                    <pic:cNvPr id="1176217309" name="image1.png" descr="A graph with a line&#10;&#10;Description automatically generated"/>
                    <pic:cNvPicPr preferRelativeResize="0"/>
                  </pic:nvPicPr>
                  <pic:blipFill>
                    <a:blip r:embed="rId18"/>
                    <a:srcRect/>
                    <a:stretch>
                      <a:fillRect/>
                    </a:stretch>
                  </pic:blipFill>
                  <pic:spPr>
                    <a:xfrm>
                      <a:off x="0" y="0"/>
                      <a:ext cx="5943600" cy="3708400"/>
                    </a:xfrm>
                    <a:prstGeom prst="rect">
                      <a:avLst/>
                    </a:prstGeom>
                    <a:ln/>
                  </pic:spPr>
                </pic:pic>
              </a:graphicData>
            </a:graphic>
          </wp:inline>
        </w:drawing>
      </w:r>
    </w:p>
    <w:p w14:paraId="649146A4" w14:textId="77777777" w:rsidR="00D75C33" w:rsidRPr="001470E4" w:rsidRDefault="00D75C33" w:rsidP="00D75C33">
      <w:pPr>
        <w:ind w:left="360"/>
        <w:jc w:val="center"/>
        <w:rPr>
          <w:rFonts w:eastAsia="Avenir" w:cstheme="minorHAnsi"/>
        </w:rPr>
      </w:pPr>
    </w:p>
    <w:p w14:paraId="6F775FF2" w14:textId="166F2841" w:rsidR="00D75C33" w:rsidRPr="00C54DD1" w:rsidRDefault="00D75C33" w:rsidP="00D75C33">
      <w:pPr>
        <w:ind w:left="360"/>
        <w:jc w:val="center"/>
        <w:rPr>
          <w:rStyle w:val="Hyperlink"/>
          <w:rFonts w:eastAsia="Avenir" w:cstheme="minorHAnsi"/>
        </w:rPr>
      </w:pPr>
      <w:r w:rsidRPr="001470E4">
        <w:rPr>
          <w:rFonts w:eastAsia="Avenir" w:cstheme="minorHAnsi"/>
        </w:rPr>
        <w:t xml:space="preserve">Source: </w:t>
      </w:r>
      <w:r w:rsidR="00C54DD1">
        <w:rPr>
          <w:rFonts w:eastAsia="Avenir" w:cstheme="minorHAnsi"/>
          <w:color w:val="1155CC"/>
          <w:u w:val="single"/>
        </w:rPr>
        <w:fldChar w:fldCharType="begin"/>
      </w:r>
      <w:r w:rsidR="00C54DD1">
        <w:rPr>
          <w:rFonts w:eastAsia="Avenir" w:cstheme="minorHAnsi"/>
          <w:color w:val="1155CC"/>
          <w:u w:val="single"/>
        </w:rPr>
        <w:instrText>HYPERLINK "https://www.wsj.com/market-data/quotes/index/SPX/advanced-chart"</w:instrText>
      </w:r>
      <w:r w:rsidR="00C54DD1">
        <w:rPr>
          <w:rFonts w:eastAsia="Avenir" w:cstheme="minorHAnsi"/>
          <w:color w:val="1155CC"/>
          <w:u w:val="single"/>
        </w:rPr>
      </w:r>
      <w:r w:rsidR="00C54DD1">
        <w:rPr>
          <w:rFonts w:eastAsia="Avenir" w:cstheme="minorHAnsi"/>
          <w:color w:val="1155CC"/>
          <w:u w:val="single"/>
        </w:rPr>
        <w:fldChar w:fldCharType="separate"/>
      </w:r>
      <w:r w:rsidRPr="00C54DD1">
        <w:rPr>
          <w:rStyle w:val="Hyperlink"/>
          <w:rFonts w:eastAsia="Avenir" w:cstheme="minorHAnsi"/>
        </w:rPr>
        <w:t>Wall Street Journal</w:t>
      </w:r>
    </w:p>
    <w:p w14:paraId="1A7007DD" w14:textId="357CD901" w:rsidR="00D75C33" w:rsidRDefault="00C54DD1" w:rsidP="00714486">
      <w:pPr>
        <w:ind w:right="360"/>
        <w:jc w:val="center"/>
        <w:rPr>
          <w:rFonts w:eastAsia="Avenir" w:cstheme="minorHAnsi"/>
          <w:color w:val="1155CC"/>
          <w:u w:val="single"/>
        </w:rPr>
      </w:pPr>
      <w:r>
        <w:rPr>
          <w:rFonts w:eastAsia="Avenir" w:cstheme="minorHAnsi"/>
          <w:color w:val="1155CC"/>
          <w:u w:val="single"/>
        </w:rPr>
        <w:fldChar w:fldCharType="end"/>
      </w:r>
    </w:p>
    <w:p w14:paraId="1E474872" w14:textId="77777777" w:rsidR="00DF115D" w:rsidRPr="001470E4" w:rsidRDefault="00DF115D" w:rsidP="00714486">
      <w:pPr>
        <w:ind w:right="360"/>
        <w:jc w:val="center"/>
        <w:rPr>
          <w:rFonts w:eastAsia="Avenir" w:cstheme="minorHAnsi"/>
        </w:rPr>
      </w:pPr>
    </w:p>
    <w:p w14:paraId="7879B08F" w14:textId="77777777" w:rsidR="00D75C33" w:rsidRPr="001470E4" w:rsidRDefault="00D75C33" w:rsidP="00714486">
      <w:pPr>
        <w:ind w:right="360"/>
        <w:jc w:val="center"/>
        <w:rPr>
          <w:rFonts w:eastAsia="Avenir" w:cstheme="minorHAnsi"/>
        </w:rPr>
      </w:pPr>
    </w:p>
    <w:p w14:paraId="4821E03C" w14:textId="77777777" w:rsidR="00BD5752" w:rsidRPr="006555E9" w:rsidRDefault="00BD5752" w:rsidP="00BD5752">
      <w:pPr>
        <w:pStyle w:val="Heading2"/>
        <w:rPr>
          <w:rFonts w:asciiTheme="minorHAnsi" w:eastAsia="Avenir" w:hAnsiTheme="minorHAnsi" w:cstheme="minorHAnsi"/>
          <w:b w:val="0"/>
        </w:rPr>
      </w:pPr>
      <w:r w:rsidRPr="006555E9">
        <w:rPr>
          <w:rFonts w:asciiTheme="minorHAnsi" w:eastAsia="Avenir" w:hAnsiTheme="minorHAnsi" w:cstheme="minorHAnsi"/>
        </w:rPr>
        <w:lastRenderedPageBreak/>
        <w:t>US Growth Revised (Sightly) Up</w:t>
      </w:r>
    </w:p>
    <w:p w14:paraId="4E78BF93" w14:textId="77777777" w:rsidR="005C0F5A" w:rsidRPr="009329CD" w:rsidRDefault="00A00DE7" w:rsidP="00E45703">
      <w:pPr>
        <w:rPr>
          <w:rFonts w:eastAsia="Avenir" w:cstheme="minorHAnsi"/>
          <w:color w:val="58595B"/>
        </w:rPr>
      </w:pPr>
      <w:r w:rsidRPr="009329CD">
        <w:rPr>
          <w:rFonts w:eastAsia="Avenir" w:cstheme="minorHAnsi"/>
          <w:color w:val="58595B"/>
        </w:rPr>
        <w:t xml:space="preserve">The US economy grew at a 1.4% annualized rate between the months of January and March, according to the latest estimate from the Bureau of Economic Analysis. Business investment rose at a 4.4% annual pace during the quarter, </w:t>
      </w:r>
    </w:p>
    <w:p w14:paraId="680FA3A6" w14:textId="77777777" w:rsidR="005C0F5A" w:rsidRPr="009329CD" w:rsidRDefault="00A00DE7" w:rsidP="00E45703">
      <w:pPr>
        <w:rPr>
          <w:rFonts w:eastAsia="Avenir" w:cstheme="minorHAnsi"/>
          <w:color w:val="58595B"/>
        </w:rPr>
      </w:pPr>
      <w:r w:rsidRPr="009329CD">
        <w:rPr>
          <w:rFonts w:eastAsia="Avenir" w:cstheme="minorHAnsi"/>
          <w:color w:val="58595B"/>
        </w:rPr>
        <w:t xml:space="preserve">up significantly from the prior estimate of 3.2%, driven by investment in factories and software. However, consumer spending – which accounts for about 70% of economic activity – decelerated sharply last quarter. Spending on appliances, furniture, and other goods fell by a 2.3% annual rate while spending on travel, meals, and other services </w:t>
      </w:r>
    </w:p>
    <w:p w14:paraId="7C233C40" w14:textId="095A4B83" w:rsidR="00A00DE7" w:rsidRPr="009329CD" w:rsidRDefault="00A00DE7" w:rsidP="00E45703">
      <w:pPr>
        <w:rPr>
          <w:rFonts w:eastAsia="Avenir" w:cstheme="minorHAnsi"/>
          <w:color w:val="58595B"/>
        </w:rPr>
      </w:pPr>
      <w:r w:rsidRPr="009329CD">
        <w:rPr>
          <w:rFonts w:eastAsia="Avenir" w:cstheme="minorHAnsi"/>
          <w:color w:val="58595B"/>
        </w:rPr>
        <w:t xml:space="preserve">was up. </w:t>
      </w:r>
    </w:p>
    <w:p w14:paraId="6EBAF4F6" w14:textId="77777777" w:rsidR="00E45703" w:rsidRPr="00E45703" w:rsidRDefault="00E45703" w:rsidP="00E45703">
      <w:pPr>
        <w:rPr>
          <w:rFonts w:eastAsia="Avenir" w:cstheme="minorHAnsi"/>
          <w:color w:val="58595B"/>
        </w:rPr>
      </w:pPr>
    </w:p>
    <w:p w14:paraId="67ECA282" w14:textId="31863AFF" w:rsidR="00A00DE7" w:rsidRPr="005C0F5A" w:rsidRDefault="00A00DE7" w:rsidP="008C4043">
      <w:pPr>
        <w:rPr>
          <w:rFonts w:ascii="Avenir" w:eastAsia="Avenir" w:hAnsi="Avenir" w:cs="Avenir"/>
        </w:rPr>
      </w:pPr>
      <w:r w:rsidRPr="00E45703">
        <w:rPr>
          <w:rFonts w:eastAsia="Avenir" w:cstheme="minorHAnsi"/>
          <w:color w:val="58595B"/>
        </w:rPr>
        <w:t xml:space="preserve">Economic growth for the first quarter is slightly below the blistering 3.4% annual rate set during the first quarter of last year, but the US economy continues to defy expectations. Many feared that the Fed's historic series of interest rate hikes could send the economy into a tailspin, but those fears never materialized. A recession is increasingly unlikely at this point. </w:t>
      </w:r>
      <w:hyperlink r:id="rId19">
        <w:r>
          <w:rPr>
            <w:rFonts w:ascii="Avenir" w:eastAsia="Avenir" w:hAnsi="Avenir" w:cs="Avenir"/>
            <w:color w:val="1155CC"/>
            <w:u w:val="single"/>
          </w:rPr>
          <w:t>AP News</w:t>
        </w:r>
      </w:hyperlink>
    </w:p>
    <w:p w14:paraId="0EFF3C1C" w14:textId="77777777" w:rsidR="00E45703" w:rsidRPr="006555E9" w:rsidRDefault="00E45703" w:rsidP="00E45703">
      <w:pPr>
        <w:pStyle w:val="Heading2"/>
        <w:rPr>
          <w:rFonts w:asciiTheme="minorHAnsi" w:eastAsia="Avenir" w:hAnsiTheme="minorHAnsi" w:cstheme="minorHAnsi"/>
          <w:b w:val="0"/>
        </w:rPr>
      </w:pPr>
      <w:r w:rsidRPr="006555E9">
        <w:rPr>
          <w:rFonts w:asciiTheme="minorHAnsi" w:eastAsia="Avenir" w:hAnsiTheme="minorHAnsi" w:cstheme="minorHAnsi"/>
        </w:rPr>
        <w:t>Consumer Confidence Dips</w:t>
      </w:r>
    </w:p>
    <w:p w14:paraId="70B1C9EC" w14:textId="77777777" w:rsidR="00E45703" w:rsidRPr="00E45703" w:rsidRDefault="00E45703" w:rsidP="00E45703">
      <w:pPr>
        <w:rPr>
          <w:rFonts w:eastAsia="Avenir" w:cstheme="minorHAnsi"/>
          <w:color w:val="58595B"/>
        </w:rPr>
      </w:pPr>
      <w:r w:rsidRPr="00E45703">
        <w:rPr>
          <w:rFonts w:eastAsia="Avenir" w:cstheme="minorHAnsi"/>
          <w:color w:val="58595B"/>
        </w:rPr>
        <w:t>The way consumers feel about their economic lives dipped slightly in June despite showing some positive signals. The Conference Board Consumer Confidence Index® fell to 100.4 in June compared to 101.3 in May. Consumers' expectations of what's in store for income, business, and labor conditions fell to 73.0, down from a 74.9 reading in May. A reading below 80 – which has been the case for five consecutive months – is often considered a negative signal for the US economy.</w:t>
      </w:r>
    </w:p>
    <w:p w14:paraId="44A4967E" w14:textId="77777777" w:rsidR="00E45703" w:rsidRPr="00E45703" w:rsidRDefault="00E45703" w:rsidP="00E45703">
      <w:pPr>
        <w:rPr>
          <w:rFonts w:eastAsia="Avenir" w:cstheme="minorHAnsi"/>
          <w:color w:val="58595B"/>
        </w:rPr>
      </w:pPr>
    </w:p>
    <w:p w14:paraId="5D1C1A81" w14:textId="3E8EBC30" w:rsidR="00F12C03" w:rsidRPr="006555E9" w:rsidRDefault="00E45703" w:rsidP="008C4043">
      <w:pPr>
        <w:rPr>
          <w:rFonts w:ascii="Avenir" w:eastAsia="Avenir" w:hAnsi="Avenir" w:cs="Avenir"/>
        </w:rPr>
      </w:pPr>
      <w:r w:rsidRPr="00E45703">
        <w:rPr>
          <w:rFonts w:eastAsia="Avenir" w:cstheme="minorHAnsi"/>
          <w:color w:val="58595B"/>
        </w:rPr>
        <w:t>On the other hand, how consumers feel about current business and labor market conditions increased to 141.5 from 140.8. According to Dana Peterson, Chief Economist at The Conference Board, "Confidence pulled back in June but remained within the same narrow range that’s held throughout the past two years, as strength in current labor market views continued to outweigh concerns about the future. However, if material weaknesses in the labor market appear, Confidence could weaken as the year progresses."</w:t>
      </w:r>
      <w:r>
        <w:rPr>
          <w:rFonts w:ascii="Avenir" w:eastAsia="Avenir" w:hAnsi="Avenir" w:cs="Avenir"/>
        </w:rPr>
        <w:t xml:space="preserve"> </w:t>
      </w:r>
      <w:hyperlink r:id="rId20">
        <w:r>
          <w:rPr>
            <w:rFonts w:ascii="Avenir" w:eastAsia="Avenir" w:hAnsi="Avenir" w:cs="Avenir"/>
            <w:color w:val="1155CC"/>
            <w:u w:val="single"/>
          </w:rPr>
          <w:t>Conference Board</w:t>
        </w:r>
      </w:hyperlink>
    </w:p>
    <w:p w14:paraId="7CBA3069" w14:textId="5DC98BFB" w:rsidR="002219E6" w:rsidRPr="006555E9" w:rsidRDefault="002219E6" w:rsidP="006555E9">
      <w:pPr>
        <w:pStyle w:val="Heading2"/>
        <w:rPr>
          <w:rFonts w:asciiTheme="minorHAnsi" w:eastAsia="Avenir" w:hAnsiTheme="minorHAnsi" w:cstheme="minorHAnsi"/>
        </w:rPr>
      </w:pPr>
      <w:r w:rsidRPr="006555E9">
        <w:rPr>
          <w:rFonts w:asciiTheme="minorHAnsi" w:eastAsia="Avenir" w:hAnsiTheme="minorHAnsi" w:cstheme="minorHAnsi"/>
        </w:rPr>
        <w:t xml:space="preserve">Housing Market </w:t>
      </w:r>
      <w:r w:rsidR="003E63FE">
        <w:rPr>
          <w:rFonts w:asciiTheme="minorHAnsi" w:eastAsia="Avenir" w:hAnsiTheme="minorHAnsi" w:cstheme="minorHAnsi"/>
        </w:rPr>
        <w:t xml:space="preserve">Still </w:t>
      </w:r>
      <w:r w:rsidRPr="006555E9">
        <w:rPr>
          <w:rFonts w:asciiTheme="minorHAnsi" w:eastAsia="Avenir" w:hAnsiTheme="minorHAnsi" w:cstheme="minorHAnsi"/>
        </w:rPr>
        <w:t>Struggl</w:t>
      </w:r>
      <w:r w:rsidR="003E63FE">
        <w:rPr>
          <w:rFonts w:asciiTheme="minorHAnsi" w:eastAsia="Avenir" w:hAnsiTheme="minorHAnsi" w:cstheme="minorHAnsi"/>
        </w:rPr>
        <w:t>ing</w:t>
      </w:r>
    </w:p>
    <w:p w14:paraId="1FA3989C" w14:textId="77777777" w:rsidR="006555E9" w:rsidRDefault="006555E9" w:rsidP="006555E9">
      <w:pPr>
        <w:rPr>
          <w:rFonts w:ascii="Avenir" w:eastAsia="Avenir" w:hAnsi="Avenir" w:cs="Avenir"/>
        </w:rPr>
      </w:pPr>
      <w:r w:rsidRPr="006555E9">
        <w:rPr>
          <w:rFonts w:eastAsia="Avenir" w:cstheme="minorHAnsi"/>
          <w:color w:val="58595B"/>
        </w:rPr>
        <w:t>Home sales fell 0.7% in May to an annual rate of 4.11 million units, according to the National Association of Realtors (NAR). Compared to last year’s numbers, sales were down 2.8%. At the end of May, there were 1.3 million unsold homes on the market – 7% more than in April and 18% more than in May of last year. As a result, home prices rose for the 11th straight month in May to a median price of $419,300, up 5.8% from a year earlier and setting an all-time record. Homebuyers who did buy were aggressive, snatching up homes within 24 days of them hitting the market. Plus, 30% of those homes sold for more than the original list price. According to Lawrence Yun, NAR's chief economist, "It’s somewhat of a strange phenomena…We had low home sales activity, prices are hitting record highs and homes look like they’re still getting multiple offers."</w:t>
      </w:r>
      <w:r>
        <w:rPr>
          <w:rFonts w:ascii="Avenir" w:eastAsia="Avenir" w:hAnsi="Avenir" w:cs="Avenir"/>
        </w:rPr>
        <w:t xml:space="preserve"> </w:t>
      </w:r>
      <w:hyperlink r:id="rId21">
        <w:r>
          <w:rPr>
            <w:rFonts w:ascii="Avenir" w:eastAsia="Avenir" w:hAnsi="Avenir" w:cs="Avenir"/>
            <w:color w:val="1155CC"/>
            <w:u w:val="single"/>
          </w:rPr>
          <w:t>AP News</w:t>
        </w:r>
      </w:hyperlink>
    </w:p>
    <w:p w14:paraId="60E280A5" w14:textId="77777777" w:rsidR="006F28A9" w:rsidRPr="00545D21" w:rsidRDefault="006F28A9" w:rsidP="006F28A9">
      <w:pPr>
        <w:ind w:right="360"/>
        <w:rPr>
          <w:rFonts w:eastAsia="Avenir" w:cstheme="minorHAnsi"/>
        </w:rPr>
      </w:pPr>
    </w:p>
    <w:p w14:paraId="6559A5B9" w14:textId="734EB02F" w:rsidR="00BA3AC9" w:rsidRPr="000B3FB0" w:rsidRDefault="00BA3AC9" w:rsidP="006F28A9">
      <w:pPr>
        <w:ind w:right="360"/>
        <w:rPr>
          <w:rFonts w:eastAsia="Avenir" w:cstheme="minorHAnsi"/>
          <w:color w:val="999999"/>
          <w:sz w:val="16"/>
          <w:szCs w:val="16"/>
        </w:rPr>
      </w:pPr>
      <w:r w:rsidRPr="000B3FB0">
        <w:rPr>
          <w:rFonts w:eastAsia="Avenir" w:cstheme="minorHAnsi"/>
          <w:color w:val="999999"/>
          <w:sz w:val="16"/>
          <w:szCs w:val="16"/>
        </w:rPr>
        <w:t>This research material was prepared by Tifin Marketing Automation.</w:t>
      </w:r>
    </w:p>
    <w:p w14:paraId="6645C804" w14:textId="77777777" w:rsidR="00FE629C" w:rsidRPr="000B3FB0" w:rsidRDefault="00FE629C" w:rsidP="006F28A9">
      <w:pPr>
        <w:ind w:right="360"/>
        <w:rPr>
          <w:rFonts w:eastAsia="Avenir" w:cstheme="minorHAnsi"/>
          <w:color w:val="999999"/>
          <w:sz w:val="16"/>
          <w:szCs w:val="16"/>
        </w:rPr>
      </w:pPr>
    </w:p>
    <w:p w14:paraId="59329CCE" w14:textId="77777777" w:rsidR="00970261" w:rsidRPr="000B3FB0" w:rsidRDefault="00970261" w:rsidP="00970261">
      <w:pPr>
        <w:ind w:right="360"/>
        <w:rPr>
          <w:rFonts w:eastAsia="Avenir" w:cstheme="minorHAnsi"/>
          <w:b/>
          <w:color w:val="999999"/>
          <w:sz w:val="16"/>
          <w:szCs w:val="16"/>
        </w:rPr>
      </w:pPr>
      <w:r w:rsidRPr="000B3FB0">
        <w:rPr>
          <w:rFonts w:eastAsia="Avenir" w:cstheme="minorHAnsi"/>
          <w:color w:val="999999"/>
          <w:sz w:val="16"/>
          <w:szCs w:val="16"/>
        </w:rPr>
        <w:t xml:space="preserve">This material represents an assessment of the market and economic environment at a specific point in time and is not intended to be a forecast of future 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is not guaranteed as to accuracy, does not purport to be complete and is not intended to be used as a primary basis for investment decisions. It should also not be construed as advice meeting the particular investment needs of any investor. </w:t>
      </w:r>
      <w:r w:rsidRPr="000B3FB0">
        <w:rPr>
          <w:rFonts w:eastAsia="Avenir" w:cstheme="minorHAnsi"/>
          <w:b/>
          <w:color w:val="999999"/>
          <w:sz w:val="16"/>
          <w:szCs w:val="16"/>
        </w:rPr>
        <w:t>Past performance does not guarantee future results.</w:t>
      </w:r>
    </w:p>
    <w:p w14:paraId="05B66CFF" w14:textId="77777777" w:rsidR="00970261" w:rsidRPr="000B3FB0" w:rsidRDefault="00970261" w:rsidP="00970261">
      <w:pPr>
        <w:ind w:right="360"/>
        <w:rPr>
          <w:rFonts w:eastAsia="Avenir" w:cstheme="minorHAnsi"/>
          <w:b/>
          <w:color w:val="999999"/>
          <w:sz w:val="16"/>
          <w:szCs w:val="16"/>
        </w:rPr>
      </w:pPr>
    </w:p>
    <w:p w14:paraId="4280242A" w14:textId="77777777" w:rsidR="00970261" w:rsidRPr="000B3FB0" w:rsidRDefault="00970261" w:rsidP="00970261">
      <w:pPr>
        <w:ind w:right="360"/>
        <w:rPr>
          <w:rFonts w:eastAsia="Avenir" w:cstheme="minorHAnsi"/>
          <w:color w:val="999999"/>
          <w:sz w:val="16"/>
          <w:szCs w:val="16"/>
        </w:rPr>
      </w:pPr>
      <w:r w:rsidRPr="000B3FB0">
        <w:rPr>
          <w:rFonts w:eastAsia="Avenir" w:cstheme="minorHAnsi"/>
          <w:color w:val="999999"/>
          <w:sz w:val="16"/>
          <w:szCs w:val="16"/>
        </w:rPr>
        <w:t>Indices are unmanaged and investors cannot invest directly in an index. Unless otherwise noted, performance of indices does not account for any fees, commissions or other expenses that would be incurred. Returns do not include reinvested dividends.</w:t>
      </w:r>
    </w:p>
    <w:p w14:paraId="48F83B92" w14:textId="77777777" w:rsidR="00970261" w:rsidRPr="000B3FB0" w:rsidRDefault="00970261" w:rsidP="00970261">
      <w:pPr>
        <w:ind w:right="360"/>
        <w:rPr>
          <w:rFonts w:eastAsia="Avenir" w:cstheme="minorHAnsi"/>
          <w:color w:val="999999"/>
          <w:sz w:val="16"/>
          <w:szCs w:val="16"/>
        </w:rPr>
      </w:pPr>
    </w:p>
    <w:p w14:paraId="7612217C" w14:textId="77777777" w:rsidR="00970261" w:rsidRPr="000B3FB0" w:rsidRDefault="00970261" w:rsidP="00970261">
      <w:pPr>
        <w:ind w:right="360"/>
        <w:rPr>
          <w:rFonts w:eastAsia="Avenir" w:cstheme="minorHAnsi"/>
          <w:color w:val="999999"/>
          <w:sz w:val="16"/>
          <w:szCs w:val="16"/>
        </w:rPr>
      </w:pPr>
      <w:r w:rsidRPr="000B3FB0">
        <w:rPr>
          <w:rFonts w:eastAsia="Avenir" w:cstheme="minorHAnsi"/>
          <w:color w:val="999999"/>
          <w:sz w:val="16"/>
          <w:szCs w:val="16"/>
        </w:rPr>
        <w:t>The Standard &amp; Poor's 500 (S&amp;P 500) is an unmanaged group of securities considered to be representative of the stock market in general.  It is a market value weighted index with each stock's weight in the index proportionate to its market value.</w:t>
      </w:r>
    </w:p>
    <w:p w14:paraId="309B7CE5" w14:textId="77777777" w:rsidR="00970261" w:rsidRPr="000B3FB0" w:rsidRDefault="00970261" w:rsidP="00970261">
      <w:pPr>
        <w:ind w:right="360"/>
        <w:rPr>
          <w:rFonts w:eastAsia="Avenir" w:cstheme="minorHAnsi"/>
          <w:color w:val="999999"/>
          <w:sz w:val="16"/>
          <w:szCs w:val="16"/>
        </w:rPr>
      </w:pPr>
    </w:p>
    <w:p w14:paraId="581337EE" w14:textId="77777777" w:rsidR="00970261" w:rsidRPr="000B3FB0" w:rsidRDefault="00970261" w:rsidP="00970261">
      <w:pPr>
        <w:ind w:right="360"/>
        <w:rPr>
          <w:rFonts w:eastAsia="Avenir" w:cstheme="minorHAnsi"/>
          <w:color w:val="999999"/>
          <w:sz w:val="16"/>
          <w:szCs w:val="16"/>
        </w:rPr>
      </w:pPr>
      <w:r w:rsidRPr="000B3FB0">
        <w:rPr>
          <w:rFonts w:eastAsia="Avenir" w:cstheme="minorHAnsi"/>
          <w:color w:val="999999"/>
          <w:sz w:val="16"/>
          <w:szCs w:val="16"/>
        </w:rPr>
        <w:t>The Nasdaq Composite Index is a market-capitalization weighted index of the more than 3,000 common equities listed on the Nasdaq stock exchange. The types of securities in the index include American depositary receipts, common stocks, real estate investment trusts (REITs) and tracking stocks. The index includes all Nasdaq listed stocks that are not derivatives, preferred shares, funds, exchange-traded funds (ETFs) or debentures.</w:t>
      </w:r>
    </w:p>
    <w:p w14:paraId="74557E06" w14:textId="77777777" w:rsidR="00970261" w:rsidRPr="000B3FB0" w:rsidRDefault="00970261" w:rsidP="00970261">
      <w:pPr>
        <w:ind w:right="360"/>
        <w:rPr>
          <w:rFonts w:eastAsia="Avenir" w:cstheme="minorHAnsi"/>
          <w:color w:val="999999"/>
          <w:sz w:val="16"/>
          <w:szCs w:val="16"/>
        </w:rPr>
      </w:pPr>
    </w:p>
    <w:p w14:paraId="0ED0A0D9" w14:textId="77777777" w:rsidR="00970261" w:rsidRPr="000B3FB0" w:rsidRDefault="00970261" w:rsidP="00970261">
      <w:pPr>
        <w:ind w:right="360"/>
        <w:rPr>
          <w:rFonts w:eastAsia="Avenir" w:cstheme="minorHAnsi"/>
          <w:color w:val="999999"/>
          <w:sz w:val="16"/>
          <w:szCs w:val="16"/>
        </w:rPr>
      </w:pPr>
      <w:r w:rsidRPr="000B3FB0">
        <w:rPr>
          <w:rFonts w:eastAsia="Avenir" w:cstheme="minorHAnsi"/>
          <w:color w:val="999999"/>
          <w:sz w:val="16"/>
          <w:szCs w:val="16"/>
        </w:rPr>
        <w:t xml:space="preserve">The Dow Jones Industrial Average (DJIA) is a price-weighted average of 30 actively traded “blue chip” stocks, primarily industrials, but includes financials and </w:t>
      </w:r>
      <w:r w:rsidRPr="000B3FB0">
        <w:rPr>
          <w:rFonts w:eastAsia="Avenir" w:cstheme="minorHAnsi"/>
          <w:color w:val="999999"/>
          <w:sz w:val="16"/>
          <w:szCs w:val="16"/>
        </w:rPr>
        <w:lastRenderedPageBreak/>
        <w:t>other service-oriented companies. The components, which change from time to time, represent between 15% and 20% of the market value of NYSE stocks.</w:t>
      </w:r>
    </w:p>
    <w:p w14:paraId="74B75143" w14:textId="77777777" w:rsidR="00970261" w:rsidRPr="000B3FB0" w:rsidRDefault="00970261" w:rsidP="00970261">
      <w:pPr>
        <w:ind w:right="360"/>
        <w:rPr>
          <w:rFonts w:eastAsia="Avenir" w:cstheme="minorHAnsi"/>
          <w:color w:val="999999"/>
          <w:sz w:val="16"/>
          <w:szCs w:val="16"/>
        </w:rPr>
      </w:pPr>
    </w:p>
    <w:p w14:paraId="37B56C87" w14:textId="77777777" w:rsidR="00970261" w:rsidRPr="000B3FB0" w:rsidRDefault="00970261" w:rsidP="00970261">
      <w:pPr>
        <w:ind w:right="360"/>
        <w:rPr>
          <w:rFonts w:eastAsia="Avenir" w:cstheme="minorHAnsi"/>
          <w:color w:val="999999"/>
          <w:sz w:val="16"/>
          <w:szCs w:val="16"/>
        </w:rPr>
      </w:pPr>
      <w:r w:rsidRPr="000B3FB0">
        <w:rPr>
          <w:rFonts w:eastAsia="Avenir" w:cstheme="minorHAnsi"/>
          <w:color w:val="999999"/>
          <w:sz w:val="16"/>
          <w:szCs w:val="16"/>
        </w:rPr>
        <w:t xml:space="preserve">The Conference Board creates the Present Situation Index (PSI) from survey data of approximately 5000 households across the United States to gauge public opinion about the U.S. economy.  When the index is positive, people feel good about the current economic situation.  When negative, people are less optimistic.  The (PSI) along with the Expectations Index are used by The Conference Board to create the Consumer Confidence Index (CCI) which tells us how optimistic (or not) people are about the future of the economy.  </w:t>
      </w:r>
    </w:p>
    <w:p w14:paraId="4611542E" w14:textId="77777777" w:rsidR="00970261" w:rsidRPr="000B3FB0" w:rsidRDefault="00970261" w:rsidP="00970261">
      <w:pPr>
        <w:ind w:right="360"/>
        <w:rPr>
          <w:rFonts w:eastAsia="Avenir" w:cstheme="minorHAnsi"/>
          <w:color w:val="999999"/>
          <w:sz w:val="16"/>
          <w:szCs w:val="16"/>
        </w:rPr>
      </w:pPr>
    </w:p>
    <w:p w14:paraId="21D73A16" w14:textId="77777777" w:rsidR="00970261" w:rsidRPr="000B3FB0" w:rsidRDefault="00970261" w:rsidP="00970261">
      <w:pPr>
        <w:ind w:right="360"/>
        <w:rPr>
          <w:rFonts w:eastAsia="Avenir" w:cstheme="minorHAnsi"/>
          <w:color w:val="999999"/>
          <w:sz w:val="16"/>
          <w:szCs w:val="16"/>
        </w:rPr>
      </w:pPr>
      <w:r w:rsidRPr="000B3FB0">
        <w:rPr>
          <w:rFonts w:eastAsia="Avenir" w:cstheme="minorHAnsi"/>
          <w:color w:val="999999"/>
          <w:sz w:val="16"/>
          <w:szCs w:val="16"/>
        </w:rPr>
        <w:t>The Expectations Index is a component of the Consumer Confidence Index® (CCI), which is published each month by the Conference Board. The CCI reflects consumers’ short-term—that is, six-month—outlook for, and sentiment about, the performance of the overall economy as it effects them. The Expectations Index is made up of the average of the CCI components that deal with six-month outlooks for business, employment, and income.</w:t>
      </w:r>
    </w:p>
    <w:p w14:paraId="21345FF8" w14:textId="77777777" w:rsidR="00545D21" w:rsidRPr="004D480C" w:rsidRDefault="00545D21" w:rsidP="00BF0243">
      <w:pPr>
        <w:widowControl/>
        <w:rPr>
          <w:rFonts w:cstheme="minorHAnsi"/>
          <w:color w:val="58595B"/>
          <w:sz w:val="16"/>
          <w:szCs w:val="16"/>
        </w:rPr>
      </w:pPr>
    </w:p>
    <w:p w14:paraId="4568CBF8" w14:textId="77777777" w:rsidR="00FC7BD6" w:rsidRPr="004D480C" w:rsidRDefault="00FC7BD6" w:rsidP="00BF0243">
      <w:pPr>
        <w:widowControl/>
        <w:rPr>
          <w:rFonts w:cstheme="minorHAnsi"/>
          <w:color w:val="58595B"/>
          <w:sz w:val="16"/>
          <w:szCs w:val="16"/>
        </w:rPr>
      </w:pPr>
    </w:p>
    <w:p w14:paraId="38BAF61A" w14:textId="77777777" w:rsidR="00FC7BD6" w:rsidRPr="004D480C" w:rsidRDefault="00FC7BD6" w:rsidP="00BF0243">
      <w:pPr>
        <w:widowControl/>
        <w:rPr>
          <w:rFonts w:cstheme="minorHAnsi"/>
          <w:color w:val="58595B"/>
          <w:sz w:val="16"/>
          <w:szCs w:val="16"/>
        </w:rPr>
      </w:pPr>
    </w:p>
    <w:p w14:paraId="0A6BBA20" w14:textId="77777777" w:rsidR="00FC7BD6" w:rsidRPr="004D480C" w:rsidRDefault="00FC7BD6" w:rsidP="00BF0243">
      <w:pPr>
        <w:widowControl/>
        <w:rPr>
          <w:rFonts w:cstheme="minorHAnsi"/>
          <w:color w:val="58595B"/>
          <w:sz w:val="16"/>
          <w:szCs w:val="16"/>
        </w:rPr>
      </w:pPr>
    </w:p>
    <w:p w14:paraId="0518F089" w14:textId="77777777" w:rsidR="00FC7BD6" w:rsidRPr="004D480C" w:rsidRDefault="00FC7BD6" w:rsidP="00BF0243">
      <w:pPr>
        <w:widowControl/>
        <w:rPr>
          <w:rFonts w:cstheme="minorHAnsi"/>
          <w:color w:val="58595B"/>
          <w:sz w:val="16"/>
          <w:szCs w:val="16"/>
        </w:rPr>
      </w:pPr>
    </w:p>
    <w:p w14:paraId="6069CDA4" w14:textId="77777777" w:rsidR="00FC7BD6" w:rsidRPr="004D480C" w:rsidRDefault="00FC7BD6" w:rsidP="00BF0243">
      <w:pPr>
        <w:widowControl/>
        <w:rPr>
          <w:rFonts w:cstheme="minorHAnsi"/>
          <w:color w:val="58595B"/>
          <w:sz w:val="16"/>
          <w:szCs w:val="16"/>
        </w:rPr>
      </w:pPr>
    </w:p>
    <w:p w14:paraId="4ADDCB0E" w14:textId="77777777" w:rsidR="00FC7BD6" w:rsidRPr="004D480C" w:rsidRDefault="00FC7BD6" w:rsidP="00BF0243">
      <w:pPr>
        <w:widowControl/>
        <w:rPr>
          <w:rFonts w:cstheme="minorHAnsi"/>
          <w:color w:val="58595B"/>
          <w:sz w:val="16"/>
          <w:szCs w:val="16"/>
        </w:rPr>
      </w:pPr>
    </w:p>
    <w:p w14:paraId="2667C1EC" w14:textId="77777777" w:rsidR="00FC7BD6" w:rsidRPr="004D480C" w:rsidRDefault="00FC7BD6" w:rsidP="00BF0243">
      <w:pPr>
        <w:widowControl/>
        <w:rPr>
          <w:rFonts w:cstheme="minorHAnsi"/>
          <w:color w:val="58595B"/>
          <w:sz w:val="16"/>
          <w:szCs w:val="16"/>
        </w:rPr>
      </w:pPr>
    </w:p>
    <w:p w14:paraId="620F70BB" w14:textId="77777777" w:rsidR="00FC7BD6" w:rsidRPr="004D480C" w:rsidRDefault="00FC7BD6" w:rsidP="00BF0243">
      <w:pPr>
        <w:widowControl/>
        <w:rPr>
          <w:rFonts w:cstheme="minorHAnsi"/>
          <w:color w:val="58595B"/>
          <w:sz w:val="16"/>
          <w:szCs w:val="16"/>
        </w:rPr>
      </w:pPr>
    </w:p>
    <w:p w14:paraId="7FC3DB63" w14:textId="77777777" w:rsidR="00FC7BD6" w:rsidRPr="004D480C" w:rsidRDefault="00FC7BD6" w:rsidP="00BF0243">
      <w:pPr>
        <w:widowControl/>
        <w:rPr>
          <w:rFonts w:cstheme="minorHAnsi"/>
          <w:color w:val="58595B"/>
          <w:sz w:val="16"/>
          <w:szCs w:val="16"/>
        </w:rPr>
      </w:pPr>
    </w:p>
    <w:p w14:paraId="668C1BCB" w14:textId="77777777" w:rsidR="00FC7BD6" w:rsidRPr="004D480C" w:rsidRDefault="00FC7BD6" w:rsidP="00BF0243">
      <w:pPr>
        <w:widowControl/>
        <w:rPr>
          <w:rFonts w:cstheme="minorHAnsi"/>
          <w:color w:val="58595B"/>
          <w:sz w:val="16"/>
          <w:szCs w:val="16"/>
        </w:rPr>
      </w:pPr>
    </w:p>
    <w:p w14:paraId="0367BDDC" w14:textId="77777777" w:rsidR="00FC7BD6" w:rsidRPr="004D480C" w:rsidRDefault="00FC7BD6" w:rsidP="00BF0243">
      <w:pPr>
        <w:widowControl/>
        <w:rPr>
          <w:rFonts w:cstheme="minorHAnsi"/>
          <w:color w:val="58595B"/>
          <w:sz w:val="16"/>
          <w:szCs w:val="16"/>
        </w:rPr>
      </w:pPr>
    </w:p>
    <w:p w14:paraId="0939B169" w14:textId="77777777" w:rsidR="00FC7BD6" w:rsidRPr="004D480C" w:rsidRDefault="00FC7BD6" w:rsidP="00BF0243">
      <w:pPr>
        <w:widowControl/>
        <w:rPr>
          <w:rFonts w:cstheme="minorHAnsi"/>
          <w:color w:val="58595B"/>
          <w:sz w:val="16"/>
          <w:szCs w:val="16"/>
        </w:rPr>
      </w:pPr>
    </w:p>
    <w:p w14:paraId="117BD67B" w14:textId="77777777" w:rsidR="00FC7BD6" w:rsidRPr="004D480C" w:rsidRDefault="00FC7BD6" w:rsidP="00BF0243">
      <w:pPr>
        <w:widowControl/>
        <w:rPr>
          <w:rFonts w:cstheme="minorHAnsi"/>
          <w:color w:val="58595B"/>
          <w:sz w:val="16"/>
          <w:szCs w:val="16"/>
        </w:rPr>
      </w:pPr>
    </w:p>
    <w:p w14:paraId="66ACEACC" w14:textId="77777777" w:rsidR="00FC7BD6" w:rsidRPr="004D480C" w:rsidRDefault="00FC7BD6" w:rsidP="00BF0243">
      <w:pPr>
        <w:widowControl/>
        <w:rPr>
          <w:rFonts w:cstheme="minorHAnsi"/>
          <w:color w:val="58595B"/>
          <w:sz w:val="16"/>
          <w:szCs w:val="16"/>
        </w:rPr>
      </w:pPr>
    </w:p>
    <w:p w14:paraId="499826DA" w14:textId="77777777" w:rsidR="00FC7BD6" w:rsidRPr="004D480C" w:rsidRDefault="00FC7BD6" w:rsidP="00BF0243">
      <w:pPr>
        <w:widowControl/>
        <w:rPr>
          <w:rFonts w:cstheme="minorHAnsi"/>
          <w:color w:val="58595B"/>
          <w:sz w:val="16"/>
          <w:szCs w:val="16"/>
        </w:rPr>
      </w:pPr>
    </w:p>
    <w:p w14:paraId="34745F73" w14:textId="77777777" w:rsidR="00FC7BD6" w:rsidRPr="004D480C" w:rsidRDefault="00FC7BD6" w:rsidP="00BF0243">
      <w:pPr>
        <w:widowControl/>
        <w:rPr>
          <w:rFonts w:cstheme="minorHAnsi"/>
          <w:color w:val="58595B"/>
          <w:sz w:val="16"/>
          <w:szCs w:val="16"/>
        </w:rPr>
      </w:pPr>
    </w:p>
    <w:p w14:paraId="648F8FA4" w14:textId="77777777" w:rsidR="00FC7BD6" w:rsidRPr="004D480C" w:rsidRDefault="00FC7BD6" w:rsidP="00BF0243">
      <w:pPr>
        <w:widowControl/>
        <w:rPr>
          <w:rFonts w:cstheme="minorHAnsi"/>
          <w:color w:val="58595B"/>
          <w:sz w:val="16"/>
          <w:szCs w:val="16"/>
        </w:rPr>
      </w:pPr>
    </w:p>
    <w:p w14:paraId="2A78202A" w14:textId="77777777" w:rsidR="00FC7BD6" w:rsidRPr="004D480C" w:rsidRDefault="00FC7BD6" w:rsidP="00BF0243">
      <w:pPr>
        <w:widowControl/>
        <w:rPr>
          <w:rFonts w:cstheme="minorHAnsi"/>
          <w:color w:val="58595B"/>
          <w:sz w:val="16"/>
          <w:szCs w:val="16"/>
        </w:rPr>
      </w:pPr>
    </w:p>
    <w:p w14:paraId="2B275ECC" w14:textId="77777777" w:rsidR="00FC7BD6" w:rsidRPr="004D480C" w:rsidRDefault="00FC7BD6" w:rsidP="00BF0243">
      <w:pPr>
        <w:widowControl/>
        <w:rPr>
          <w:rFonts w:cstheme="minorHAnsi"/>
          <w:color w:val="58595B"/>
          <w:sz w:val="16"/>
          <w:szCs w:val="16"/>
        </w:rPr>
      </w:pPr>
    </w:p>
    <w:p w14:paraId="7E61BD61" w14:textId="77777777" w:rsidR="00FC7BD6" w:rsidRPr="004D480C" w:rsidRDefault="00FC7BD6" w:rsidP="00BF0243">
      <w:pPr>
        <w:widowControl/>
        <w:rPr>
          <w:rFonts w:cstheme="minorHAnsi"/>
          <w:color w:val="58595B"/>
          <w:sz w:val="16"/>
          <w:szCs w:val="16"/>
        </w:rPr>
      </w:pPr>
    </w:p>
    <w:p w14:paraId="70816D62" w14:textId="77777777" w:rsidR="00FC7BD6" w:rsidRPr="004D480C" w:rsidRDefault="00FC7BD6" w:rsidP="00BF0243">
      <w:pPr>
        <w:widowControl/>
        <w:rPr>
          <w:rFonts w:cstheme="minorHAnsi"/>
          <w:color w:val="58595B"/>
          <w:sz w:val="16"/>
          <w:szCs w:val="16"/>
        </w:rPr>
      </w:pPr>
    </w:p>
    <w:p w14:paraId="3CD314AF" w14:textId="77777777" w:rsidR="00750961" w:rsidRPr="004D480C" w:rsidRDefault="00750961" w:rsidP="00BF0243">
      <w:pPr>
        <w:widowControl/>
        <w:rPr>
          <w:rFonts w:cstheme="minorHAnsi"/>
          <w:color w:val="58595B"/>
          <w:sz w:val="16"/>
          <w:szCs w:val="16"/>
        </w:rPr>
      </w:pPr>
    </w:p>
    <w:p w14:paraId="4515D7EB" w14:textId="77777777" w:rsidR="00750961" w:rsidRPr="004D480C" w:rsidRDefault="00750961" w:rsidP="00BF0243">
      <w:pPr>
        <w:widowControl/>
        <w:rPr>
          <w:rFonts w:cstheme="minorHAnsi"/>
          <w:color w:val="58595B"/>
          <w:sz w:val="16"/>
          <w:szCs w:val="16"/>
        </w:rPr>
      </w:pPr>
    </w:p>
    <w:p w14:paraId="63F210CC" w14:textId="77777777" w:rsidR="00750961" w:rsidRPr="004D480C" w:rsidRDefault="00750961" w:rsidP="00BF0243">
      <w:pPr>
        <w:widowControl/>
        <w:rPr>
          <w:rFonts w:cstheme="minorHAnsi"/>
          <w:color w:val="58595B"/>
          <w:sz w:val="16"/>
          <w:szCs w:val="16"/>
        </w:rPr>
      </w:pPr>
    </w:p>
    <w:p w14:paraId="0DE2467C" w14:textId="77777777" w:rsidR="00750961" w:rsidRPr="004D480C" w:rsidRDefault="00750961" w:rsidP="00BF0243">
      <w:pPr>
        <w:widowControl/>
        <w:rPr>
          <w:rFonts w:cstheme="minorHAnsi"/>
          <w:color w:val="58595B"/>
          <w:sz w:val="16"/>
          <w:szCs w:val="16"/>
        </w:rPr>
      </w:pPr>
    </w:p>
    <w:p w14:paraId="46C49887" w14:textId="77777777" w:rsidR="00750961" w:rsidRPr="004D480C" w:rsidRDefault="00750961" w:rsidP="00BF0243">
      <w:pPr>
        <w:widowControl/>
        <w:rPr>
          <w:rFonts w:cstheme="minorHAnsi"/>
          <w:color w:val="58595B"/>
          <w:sz w:val="16"/>
          <w:szCs w:val="16"/>
        </w:rPr>
      </w:pPr>
    </w:p>
    <w:p w14:paraId="7A489C95" w14:textId="77777777" w:rsidR="00750961" w:rsidRPr="004D480C" w:rsidRDefault="00750961" w:rsidP="00BF0243">
      <w:pPr>
        <w:widowControl/>
        <w:rPr>
          <w:rFonts w:cstheme="minorHAnsi"/>
          <w:color w:val="58595B"/>
          <w:sz w:val="16"/>
          <w:szCs w:val="16"/>
        </w:rPr>
      </w:pPr>
    </w:p>
    <w:p w14:paraId="375091BB" w14:textId="77777777" w:rsidR="00750961" w:rsidRPr="004D480C" w:rsidRDefault="00750961" w:rsidP="00BF0243">
      <w:pPr>
        <w:widowControl/>
        <w:rPr>
          <w:rFonts w:cstheme="minorHAnsi"/>
          <w:color w:val="58595B"/>
          <w:sz w:val="16"/>
          <w:szCs w:val="16"/>
        </w:rPr>
      </w:pPr>
    </w:p>
    <w:p w14:paraId="20F98A49" w14:textId="77777777" w:rsidR="00750961" w:rsidRPr="004D480C" w:rsidRDefault="00750961" w:rsidP="00BF0243">
      <w:pPr>
        <w:widowControl/>
        <w:rPr>
          <w:rFonts w:cstheme="minorHAnsi"/>
          <w:color w:val="58595B"/>
          <w:sz w:val="16"/>
          <w:szCs w:val="16"/>
        </w:rPr>
      </w:pPr>
    </w:p>
    <w:p w14:paraId="0EA74150" w14:textId="77777777" w:rsidR="00750961" w:rsidRPr="004D480C" w:rsidRDefault="00750961" w:rsidP="00BF0243">
      <w:pPr>
        <w:widowControl/>
        <w:rPr>
          <w:rFonts w:cstheme="minorHAnsi"/>
          <w:color w:val="58595B"/>
          <w:sz w:val="16"/>
          <w:szCs w:val="16"/>
        </w:rPr>
      </w:pPr>
    </w:p>
    <w:p w14:paraId="1B42F962" w14:textId="77777777" w:rsidR="00750961" w:rsidRPr="004D480C" w:rsidRDefault="00750961" w:rsidP="00BF0243">
      <w:pPr>
        <w:widowControl/>
        <w:rPr>
          <w:rFonts w:cstheme="minorHAnsi"/>
          <w:color w:val="58595B"/>
          <w:sz w:val="16"/>
          <w:szCs w:val="16"/>
        </w:rPr>
      </w:pPr>
    </w:p>
    <w:p w14:paraId="2475B092" w14:textId="77777777" w:rsidR="00750961" w:rsidRPr="004D480C" w:rsidRDefault="00750961" w:rsidP="00BF0243">
      <w:pPr>
        <w:widowControl/>
        <w:rPr>
          <w:rFonts w:cstheme="minorHAnsi"/>
          <w:color w:val="58595B"/>
          <w:sz w:val="16"/>
          <w:szCs w:val="16"/>
        </w:rPr>
      </w:pPr>
    </w:p>
    <w:p w14:paraId="6DE277E5" w14:textId="77777777" w:rsidR="00750961" w:rsidRPr="004D480C" w:rsidRDefault="00750961" w:rsidP="00BF0243">
      <w:pPr>
        <w:widowControl/>
        <w:rPr>
          <w:rFonts w:cstheme="minorHAnsi"/>
          <w:color w:val="58595B"/>
          <w:sz w:val="16"/>
          <w:szCs w:val="16"/>
        </w:rPr>
      </w:pPr>
    </w:p>
    <w:p w14:paraId="2DA24F34" w14:textId="77777777" w:rsidR="00462D29" w:rsidRDefault="00462D29" w:rsidP="00BF0243">
      <w:pPr>
        <w:widowControl/>
        <w:rPr>
          <w:rFonts w:cstheme="minorHAnsi"/>
          <w:color w:val="58595B"/>
          <w:sz w:val="16"/>
          <w:szCs w:val="16"/>
        </w:rPr>
      </w:pPr>
    </w:p>
    <w:p w14:paraId="3B82BC95" w14:textId="77777777" w:rsidR="00F12C03" w:rsidRPr="004D480C" w:rsidRDefault="00F12C03" w:rsidP="00BF0243">
      <w:pPr>
        <w:widowControl/>
        <w:rPr>
          <w:rFonts w:cstheme="minorHAnsi"/>
          <w:color w:val="58595B"/>
          <w:sz w:val="16"/>
          <w:szCs w:val="16"/>
        </w:rPr>
      </w:pPr>
    </w:p>
    <w:p w14:paraId="05C49B31" w14:textId="77777777" w:rsidR="00FC7BD6" w:rsidRPr="004D480C" w:rsidRDefault="00FC7BD6" w:rsidP="00BF0243">
      <w:pPr>
        <w:widowControl/>
        <w:rPr>
          <w:rFonts w:cstheme="minorHAnsi"/>
          <w:color w:val="58595B"/>
          <w:sz w:val="16"/>
          <w:szCs w:val="16"/>
        </w:rPr>
      </w:pPr>
    </w:p>
    <w:p w14:paraId="0BB0043C" w14:textId="5A6743D5" w:rsidR="00834733" w:rsidRPr="00C03AB7" w:rsidRDefault="00486DA1" w:rsidP="00BF0243">
      <w:pPr>
        <w:widowControl/>
        <w:rPr>
          <w:rFonts w:cstheme="minorHAnsi"/>
          <w:color w:val="58595B"/>
          <w:sz w:val="16"/>
          <w:szCs w:val="16"/>
        </w:rPr>
      </w:pPr>
      <w:r w:rsidRPr="00C03AB7">
        <w:rPr>
          <w:rFonts w:cstheme="minorHAnsi"/>
          <w:color w:val="58595B"/>
          <w:sz w:val="16"/>
          <w:szCs w:val="16"/>
        </w:rPr>
        <w:t>©20</w:t>
      </w:r>
      <w:r w:rsidR="00834733" w:rsidRPr="00C03AB7">
        <w:rPr>
          <w:rFonts w:cstheme="minorHAnsi"/>
          <w:color w:val="58595B"/>
          <w:sz w:val="16"/>
          <w:szCs w:val="16"/>
        </w:rPr>
        <w:t>2</w:t>
      </w:r>
      <w:r w:rsidR="00750961" w:rsidRPr="00C03AB7">
        <w:rPr>
          <w:rFonts w:cstheme="minorHAnsi"/>
          <w:color w:val="58595B"/>
          <w:sz w:val="16"/>
          <w:szCs w:val="16"/>
        </w:rPr>
        <w:t>4</w:t>
      </w:r>
      <w:r w:rsidRPr="00C03AB7">
        <w:rPr>
          <w:rFonts w:cstheme="minorHAnsi"/>
          <w:color w:val="58595B"/>
          <w:sz w:val="16"/>
          <w:szCs w:val="16"/>
        </w:rPr>
        <w:t xml:space="preserve"> Wealthcare Capital Management LLC</w:t>
      </w:r>
      <w:r w:rsidR="00970261">
        <w:rPr>
          <w:rFonts w:cstheme="minorHAnsi"/>
          <w:color w:val="58595B"/>
          <w:sz w:val="16"/>
          <w:szCs w:val="16"/>
        </w:rPr>
        <w:t>,</w:t>
      </w:r>
      <w:r w:rsidR="00E249E2" w:rsidRPr="00C03AB7">
        <w:rPr>
          <w:rFonts w:cstheme="minorHAnsi"/>
          <w:color w:val="58595B"/>
          <w:sz w:val="16"/>
          <w:szCs w:val="16"/>
        </w:rPr>
        <w:t xml:space="preserve"> Wealthcare Advisory Partners LLC</w:t>
      </w:r>
      <w:r w:rsidR="00970261">
        <w:rPr>
          <w:rFonts w:cstheme="minorHAnsi"/>
          <w:color w:val="58595B"/>
          <w:sz w:val="16"/>
          <w:szCs w:val="16"/>
        </w:rPr>
        <w:t xml:space="preserve">, and Wealthcare </w:t>
      </w:r>
      <w:r w:rsidR="00462D29">
        <w:rPr>
          <w:rFonts w:cstheme="minorHAnsi"/>
          <w:color w:val="58595B"/>
          <w:sz w:val="16"/>
          <w:szCs w:val="16"/>
        </w:rPr>
        <w:t>Capital Partners LLC</w:t>
      </w:r>
      <w:r w:rsidR="00E249E2" w:rsidRPr="00C03AB7">
        <w:rPr>
          <w:rFonts w:cstheme="minorHAnsi"/>
          <w:color w:val="58595B"/>
          <w:sz w:val="16"/>
          <w:szCs w:val="16"/>
        </w:rPr>
        <w:t xml:space="preserve"> </w:t>
      </w:r>
      <w:r w:rsidRPr="00C03AB7">
        <w:rPr>
          <w:rFonts w:cstheme="minorHAnsi"/>
          <w:color w:val="58595B"/>
          <w:sz w:val="16"/>
          <w:szCs w:val="16"/>
        </w:rPr>
        <w:t>(</w:t>
      </w:r>
      <w:r w:rsidR="00E15CC8" w:rsidRPr="00C03AB7">
        <w:rPr>
          <w:rFonts w:cstheme="minorHAnsi"/>
          <w:color w:val="58595B"/>
          <w:sz w:val="16"/>
          <w:szCs w:val="16"/>
        </w:rPr>
        <w:t>"</w:t>
      </w:r>
      <w:r w:rsidRPr="00C03AB7">
        <w:rPr>
          <w:rFonts w:cstheme="minorHAnsi"/>
          <w:color w:val="58595B"/>
          <w:sz w:val="16"/>
          <w:szCs w:val="16"/>
        </w:rPr>
        <w:t>Wealthcare</w:t>
      </w:r>
      <w:r w:rsidR="00E15CC8" w:rsidRPr="00C03AB7">
        <w:rPr>
          <w:rFonts w:cstheme="minorHAnsi"/>
          <w:color w:val="58595B"/>
          <w:sz w:val="16"/>
          <w:szCs w:val="16"/>
        </w:rPr>
        <w:t>"</w:t>
      </w:r>
      <w:r w:rsidRPr="00C03AB7">
        <w:rPr>
          <w:rFonts w:cstheme="minorHAnsi"/>
          <w:color w:val="58595B"/>
          <w:sz w:val="16"/>
          <w:szCs w:val="16"/>
        </w:rPr>
        <w:t>) is a registered investment advisor with the U.S. Securities and Exchange Commission (SEC) under the Investment Advisors Act of 1940.  All Rights Reserved.  </w:t>
      </w:r>
    </w:p>
    <w:p w14:paraId="3545E6AC" w14:textId="77777777" w:rsidR="00FB63C1" w:rsidRPr="00C03AB7" w:rsidRDefault="00FB63C1" w:rsidP="00524C3C">
      <w:pPr>
        <w:widowControl/>
        <w:spacing w:line="120" w:lineRule="auto"/>
        <w:rPr>
          <w:rFonts w:cstheme="minorHAnsi"/>
          <w:color w:val="58595B"/>
          <w:sz w:val="16"/>
          <w:szCs w:val="16"/>
        </w:rPr>
      </w:pPr>
    </w:p>
    <w:p w14:paraId="48BBA534" w14:textId="7EFF1581" w:rsidR="00834733" w:rsidRPr="00C03AB7" w:rsidRDefault="00486DA1" w:rsidP="00BF0243">
      <w:pPr>
        <w:pStyle w:val="BodyText"/>
        <w:widowControl/>
        <w:ind w:left="0"/>
        <w:rPr>
          <w:rFonts w:asciiTheme="minorHAnsi" w:eastAsiaTheme="minorEastAsia" w:hAnsiTheme="minorHAnsi" w:cstheme="minorHAnsi"/>
          <w:color w:val="58595B"/>
          <w:sz w:val="16"/>
          <w:szCs w:val="16"/>
        </w:rPr>
      </w:pPr>
      <w:r w:rsidRPr="00C03AB7">
        <w:rPr>
          <w:rFonts w:asciiTheme="minorHAnsi" w:eastAsiaTheme="minorEastAsia" w:hAnsiTheme="minorHAnsi" w:cstheme="minorHAnsi"/>
          <w:color w:val="58595B"/>
          <w:sz w:val="16"/>
          <w:szCs w:val="16"/>
        </w:rPr>
        <w:t xml:space="preserve">Information contained herein is at a point in time and subject to change without notice. Information is derived from sources which are believed to be reliable but are not independently audited. </w:t>
      </w:r>
    </w:p>
    <w:p w14:paraId="3C68B9A3" w14:textId="77777777" w:rsidR="00FB63C1" w:rsidRPr="00C03AB7"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739FE856" w:rsidR="008E01C4" w:rsidRPr="00C03AB7" w:rsidRDefault="00486DA1" w:rsidP="00BF0243">
      <w:pPr>
        <w:widowControl/>
        <w:rPr>
          <w:rFonts w:eastAsiaTheme="minorEastAsia" w:cstheme="minorHAnsi"/>
          <w:color w:val="58595B"/>
          <w:sz w:val="16"/>
          <w:szCs w:val="16"/>
        </w:rPr>
      </w:pPr>
      <w:r w:rsidRPr="00C03AB7">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C03AB7">
        <w:rPr>
          <w:rFonts w:eastAsiaTheme="minorEastAsia" w:cstheme="minorHAnsi"/>
          <w:iCs/>
          <w:color w:val="58595B"/>
          <w:sz w:val="16"/>
          <w:szCs w:val="16"/>
        </w:rPr>
        <w:t xml:space="preserve">or guarantee a client will in all </w:t>
      </w:r>
      <w:r w:rsidRPr="00C03AB7">
        <w:rPr>
          <w:rFonts w:eastAsiaTheme="minorEastAsia" w:cstheme="minorHAnsi"/>
          <w:color w:val="58595B"/>
          <w:sz w:val="16"/>
          <w:szCs w:val="16"/>
        </w:rPr>
        <w:t>circumstances of changing personal financial goals and market conditions be able to remain in a client's Wealthcare Plan Comfort Zone®.</w:t>
      </w:r>
      <w:r w:rsidRPr="00C03AB7">
        <w:rPr>
          <w:rFonts w:eastAsiaTheme="minorEastAsia" w:cstheme="minorHAnsi"/>
          <w:i/>
          <w:iCs/>
          <w:color w:val="58595B"/>
          <w:sz w:val="16"/>
          <w:szCs w:val="16"/>
        </w:rPr>
        <w:t xml:space="preserve"> </w:t>
      </w:r>
      <w:r w:rsidRPr="00C03AB7">
        <w:rPr>
          <w:rFonts w:eastAsiaTheme="minorEastAsia" w:cstheme="minorHAnsi"/>
          <w:color w:val="58595B"/>
          <w:sz w:val="16"/>
          <w:szCs w:val="16"/>
        </w:rPr>
        <w:t xml:space="preserve">  Past performance is not a guide to future returns.  All investments carry a degree of risk of loss of principal and there is no assurance that an investment will provide positive performance over any period of time.  </w:t>
      </w:r>
    </w:p>
    <w:p w14:paraId="35D64863" w14:textId="77777777" w:rsidR="00B42635" w:rsidRPr="004D480C" w:rsidRDefault="00B42635" w:rsidP="00BF0243">
      <w:pPr>
        <w:widowControl/>
        <w:rPr>
          <w:rFonts w:eastAsiaTheme="minorEastAsia" w:cstheme="minorHAnsi"/>
          <w:color w:val="58595B"/>
          <w:sz w:val="10"/>
          <w:szCs w:val="10"/>
        </w:rPr>
      </w:pPr>
    </w:p>
    <w:p w14:paraId="3245EC30" w14:textId="77777777" w:rsidR="00C519BC" w:rsidRDefault="00C519BC" w:rsidP="00BF0243">
      <w:pPr>
        <w:widowControl/>
        <w:rPr>
          <w:rFonts w:eastAsiaTheme="minorEastAsia" w:cstheme="minorHAnsi"/>
          <w:color w:val="58595B"/>
          <w:sz w:val="16"/>
          <w:szCs w:val="16"/>
        </w:rPr>
      </w:pPr>
    </w:p>
    <w:p w14:paraId="18931756" w14:textId="77777777" w:rsidR="00462D29" w:rsidRPr="004D480C" w:rsidRDefault="00462D29" w:rsidP="00BF0243">
      <w:pPr>
        <w:widowControl/>
        <w:rPr>
          <w:rFonts w:eastAsiaTheme="minorEastAsia" w:cstheme="minorHAnsi"/>
          <w:color w:val="58595B"/>
          <w:sz w:val="16"/>
          <w:szCs w:val="16"/>
        </w:rPr>
      </w:pPr>
    </w:p>
    <w:p w14:paraId="0C7B813D" w14:textId="22FD243C" w:rsidR="005D075C" w:rsidRPr="004D480C" w:rsidRDefault="00486DA1" w:rsidP="00BF0243">
      <w:pPr>
        <w:jc w:val="center"/>
        <w:rPr>
          <w:rFonts w:eastAsia="Calibri" w:cstheme="minorHAnsi"/>
          <w:color w:val="58595B"/>
          <w:sz w:val="20"/>
          <w:szCs w:val="20"/>
        </w:rPr>
      </w:pPr>
      <w:r w:rsidRPr="004D480C">
        <w:rPr>
          <w:rFonts w:eastAsia="Calibri" w:cstheme="minorHAnsi"/>
          <w:noProof/>
          <w:color w:val="58595B"/>
          <w:sz w:val="20"/>
          <w:szCs w:val="20"/>
        </w:rPr>
        <w:drawing>
          <wp:inline distT="0" distB="0" distL="0" distR="0" wp14:anchorId="6FB7838E" wp14:editId="126680C3">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4D480C" w:rsidRDefault="00420166" w:rsidP="00BF0243">
      <w:pPr>
        <w:jc w:val="center"/>
        <w:rPr>
          <w:rFonts w:eastAsia="Calibri" w:cstheme="minorHAnsi"/>
          <w:color w:val="58595B"/>
          <w:sz w:val="20"/>
          <w:szCs w:val="20"/>
        </w:rPr>
      </w:pPr>
    </w:p>
    <w:p w14:paraId="10C4F9F5" w14:textId="77777777" w:rsidR="0075254C" w:rsidRPr="004D480C" w:rsidRDefault="0075254C" w:rsidP="00BF0243">
      <w:pPr>
        <w:jc w:val="center"/>
        <w:rPr>
          <w:rFonts w:eastAsia="Calibri" w:cstheme="minorHAnsi"/>
          <w:color w:val="58595B"/>
          <w:sz w:val="10"/>
          <w:szCs w:val="10"/>
        </w:rPr>
      </w:pPr>
    </w:p>
    <w:p w14:paraId="4E3A0774" w14:textId="54C850ED" w:rsidR="00DC061F" w:rsidRPr="00A65456" w:rsidRDefault="00486DA1" w:rsidP="00BF0243">
      <w:pPr>
        <w:pStyle w:val="BodyText"/>
        <w:ind w:left="0"/>
        <w:jc w:val="center"/>
        <w:rPr>
          <w:rFonts w:asciiTheme="minorHAnsi" w:hAnsiTheme="minorHAnsi" w:cstheme="minorHAnsi"/>
          <w:color w:val="58595B"/>
          <w:spacing w:val="-1"/>
        </w:rPr>
      </w:pPr>
      <w:r w:rsidRPr="00A65456">
        <w:rPr>
          <w:rFonts w:asciiTheme="minorHAnsi" w:hAnsiTheme="minorHAnsi" w:cstheme="minorHAnsi"/>
          <w:color w:val="58595B"/>
        </w:rPr>
        <w:t>Two James Center</w:t>
      </w:r>
      <w:r w:rsidR="00CC2D02" w:rsidRPr="00A65456">
        <w:rPr>
          <w:rFonts w:asciiTheme="minorHAnsi" w:hAnsiTheme="minorHAnsi" w:cstheme="minorHAnsi"/>
          <w:color w:val="58595B"/>
        </w:rPr>
        <w:t>,</w:t>
      </w:r>
      <w:r w:rsidRPr="00A65456">
        <w:rPr>
          <w:rFonts w:asciiTheme="minorHAnsi" w:hAnsiTheme="minorHAnsi" w:cstheme="minorHAnsi"/>
          <w:color w:val="58595B"/>
        </w:rPr>
        <w:t xml:space="preserve"> 102</w:t>
      </w:r>
      <w:r w:rsidR="00CC2D02" w:rsidRPr="00A65456">
        <w:rPr>
          <w:rFonts w:asciiTheme="minorHAnsi" w:hAnsiTheme="minorHAnsi" w:cstheme="minorHAnsi"/>
          <w:color w:val="58595B"/>
        </w:rPr>
        <w:t>1</w:t>
      </w:r>
      <w:r w:rsidRPr="00A65456">
        <w:rPr>
          <w:rFonts w:asciiTheme="minorHAnsi" w:hAnsiTheme="minorHAnsi" w:cstheme="minorHAnsi"/>
          <w:color w:val="58595B"/>
        </w:rPr>
        <w:t xml:space="preserve"> East Cary Street, Suite </w:t>
      </w:r>
      <w:r w:rsidR="00BB7912" w:rsidRPr="00A65456">
        <w:rPr>
          <w:rFonts w:asciiTheme="minorHAnsi" w:hAnsiTheme="minorHAnsi" w:cstheme="minorHAnsi"/>
          <w:color w:val="58595B"/>
        </w:rPr>
        <w:t>702</w:t>
      </w:r>
      <w:r w:rsidRPr="00A65456">
        <w:rPr>
          <w:rFonts w:asciiTheme="minorHAnsi" w:hAnsiTheme="minorHAnsi" w:cstheme="minorHAnsi"/>
          <w:color w:val="58595B"/>
        </w:rPr>
        <w:t xml:space="preserve"> | </w:t>
      </w:r>
      <w:r w:rsidRPr="00A65456">
        <w:rPr>
          <w:rFonts w:asciiTheme="minorHAnsi" w:hAnsiTheme="minorHAnsi" w:cstheme="minorHAnsi"/>
          <w:color w:val="58595B"/>
          <w:spacing w:val="-1"/>
        </w:rPr>
        <w:t>RICHMOND,</w:t>
      </w:r>
      <w:r w:rsidRPr="00A65456">
        <w:rPr>
          <w:rFonts w:asciiTheme="minorHAnsi" w:hAnsiTheme="minorHAnsi" w:cstheme="minorHAnsi"/>
          <w:color w:val="58595B"/>
        </w:rPr>
        <w:t xml:space="preserve"> </w:t>
      </w:r>
      <w:r w:rsidRPr="00A65456">
        <w:rPr>
          <w:rFonts w:asciiTheme="minorHAnsi" w:hAnsiTheme="minorHAnsi" w:cstheme="minorHAnsi"/>
          <w:color w:val="58595B"/>
          <w:spacing w:val="-6"/>
        </w:rPr>
        <w:t>VA</w:t>
      </w:r>
      <w:r w:rsidRPr="00A65456">
        <w:rPr>
          <w:rFonts w:asciiTheme="minorHAnsi" w:hAnsiTheme="minorHAnsi" w:cstheme="minorHAnsi"/>
          <w:color w:val="58595B"/>
        </w:rPr>
        <w:t xml:space="preserve"> 23219 | </w:t>
      </w:r>
      <w:r w:rsidRPr="00A65456">
        <w:rPr>
          <w:rFonts w:asciiTheme="minorHAnsi" w:hAnsiTheme="minorHAnsi" w:cstheme="minorHAnsi"/>
          <w:color w:val="58595B"/>
          <w:spacing w:val="-1"/>
        </w:rPr>
        <w:t>804.644.4711</w:t>
      </w:r>
    </w:p>
    <w:p w14:paraId="498CF9B2" w14:textId="79587C41" w:rsidR="00310271" w:rsidRPr="00A65456" w:rsidRDefault="00486DA1" w:rsidP="00BF0243">
      <w:pPr>
        <w:pStyle w:val="BodyText"/>
        <w:ind w:left="0"/>
        <w:jc w:val="center"/>
        <w:rPr>
          <w:rFonts w:asciiTheme="minorHAnsi" w:eastAsia="Proxima Nova Rg" w:hAnsiTheme="minorHAnsi" w:cstheme="minorHAnsi"/>
          <w:color w:val="58595B"/>
        </w:rPr>
      </w:pPr>
      <w:r w:rsidRPr="00A65456">
        <w:rPr>
          <w:rFonts w:asciiTheme="minorHAnsi" w:eastAsia="Proxima Nova Rg" w:hAnsiTheme="minorHAnsi" w:cstheme="minorHAnsi"/>
          <w:caps/>
          <w:color w:val="58595B"/>
        </w:rPr>
        <w:t>Wealthcare</w:t>
      </w:r>
      <w:r w:rsidR="005B6E90" w:rsidRPr="00A65456">
        <w:rPr>
          <w:rFonts w:asciiTheme="minorHAnsi" w:eastAsia="Proxima Nova Rg" w:hAnsiTheme="minorHAnsi" w:cstheme="minorHAnsi"/>
          <w:caps/>
          <w:color w:val="58595B"/>
        </w:rPr>
        <w:t>GDX</w:t>
      </w:r>
      <w:r w:rsidRPr="00A65456">
        <w:rPr>
          <w:rFonts w:asciiTheme="minorHAnsi" w:eastAsia="Proxima Nova Rg" w:hAnsiTheme="minorHAnsi" w:cstheme="minorHAnsi"/>
          <w:caps/>
          <w:color w:val="58595B"/>
        </w:rPr>
        <w:t>.com</w:t>
      </w:r>
    </w:p>
    <w:sectPr w:rsidR="00310271" w:rsidRPr="00A65456" w:rsidSect="00FC7D0D">
      <w:headerReference w:type="even" r:id="rId23"/>
      <w:headerReference w:type="default" r:id="rId24"/>
      <w:footerReference w:type="default" r:id="rId25"/>
      <w:headerReference w:type="first" r:id="rId26"/>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C0B9C" w14:textId="77777777" w:rsidR="007C0D49" w:rsidRDefault="007C0D49">
      <w:r>
        <w:separator/>
      </w:r>
    </w:p>
  </w:endnote>
  <w:endnote w:type="continuationSeparator" w:id="0">
    <w:p w14:paraId="2624BC8D" w14:textId="77777777" w:rsidR="007C0D49" w:rsidRDefault="007C0D49">
      <w:r>
        <w:continuationSeparator/>
      </w:r>
    </w:p>
  </w:endnote>
  <w:endnote w:type="continuationNotice" w:id="1">
    <w:p w14:paraId="557597B1" w14:textId="77777777" w:rsidR="007C0D49" w:rsidRDefault="007C0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Light">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037DB" w14:textId="77777777" w:rsidR="007C0D49" w:rsidRDefault="007C0D49">
      <w:r>
        <w:separator/>
      </w:r>
    </w:p>
  </w:footnote>
  <w:footnote w:type="continuationSeparator" w:id="0">
    <w:p w14:paraId="2214C509" w14:textId="77777777" w:rsidR="007C0D49" w:rsidRDefault="007C0D49">
      <w:r>
        <w:continuationSeparator/>
      </w:r>
    </w:p>
  </w:footnote>
  <w:footnote w:type="continuationNotice" w:id="1">
    <w:p w14:paraId="19BFA38F" w14:textId="77777777" w:rsidR="007C0D49" w:rsidRDefault="007C0D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MagFAN2ksOAtAAAA"/>
  </w:docVars>
  <w:rsids>
    <w:rsidRoot w:val="00310271"/>
    <w:rsid w:val="000036B2"/>
    <w:rsid w:val="000071F9"/>
    <w:rsid w:val="000146B5"/>
    <w:rsid w:val="00025049"/>
    <w:rsid w:val="000251DB"/>
    <w:rsid w:val="00026505"/>
    <w:rsid w:val="00027D08"/>
    <w:rsid w:val="00040C3C"/>
    <w:rsid w:val="000536AB"/>
    <w:rsid w:val="0006031A"/>
    <w:rsid w:val="00060559"/>
    <w:rsid w:val="00060862"/>
    <w:rsid w:val="000719FE"/>
    <w:rsid w:val="00074E6F"/>
    <w:rsid w:val="00075B30"/>
    <w:rsid w:val="000762FC"/>
    <w:rsid w:val="00081994"/>
    <w:rsid w:val="00085051"/>
    <w:rsid w:val="00085537"/>
    <w:rsid w:val="00095231"/>
    <w:rsid w:val="000A2F3C"/>
    <w:rsid w:val="000A693A"/>
    <w:rsid w:val="000B3FB0"/>
    <w:rsid w:val="000C1420"/>
    <w:rsid w:val="000C2111"/>
    <w:rsid w:val="000C4725"/>
    <w:rsid w:val="000C77BD"/>
    <w:rsid w:val="000D2FFB"/>
    <w:rsid w:val="000D3EB7"/>
    <w:rsid w:val="000E6258"/>
    <w:rsid w:val="000E6D97"/>
    <w:rsid w:val="000F3D40"/>
    <w:rsid w:val="000F7EFA"/>
    <w:rsid w:val="0010115C"/>
    <w:rsid w:val="001014AE"/>
    <w:rsid w:val="00105280"/>
    <w:rsid w:val="00105411"/>
    <w:rsid w:val="00113BE6"/>
    <w:rsid w:val="0011558E"/>
    <w:rsid w:val="00116740"/>
    <w:rsid w:val="00120010"/>
    <w:rsid w:val="001217A4"/>
    <w:rsid w:val="0012269E"/>
    <w:rsid w:val="00123D97"/>
    <w:rsid w:val="00132058"/>
    <w:rsid w:val="001320EA"/>
    <w:rsid w:val="00133F7F"/>
    <w:rsid w:val="00140E81"/>
    <w:rsid w:val="00141D14"/>
    <w:rsid w:val="001470E4"/>
    <w:rsid w:val="001532A5"/>
    <w:rsid w:val="001534A4"/>
    <w:rsid w:val="001537A4"/>
    <w:rsid w:val="00153F4A"/>
    <w:rsid w:val="00161B54"/>
    <w:rsid w:val="00162118"/>
    <w:rsid w:val="0017091A"/>
    <w:rsid w:val="0017149B"/>
    <w:rsid w:val="001744D6"/>
    <w:rsid w:val="0018292B"/>
    <w:rsid w:val="00183C38"/>
    <w:rsid w:val="00187E21"/>
    <w:rsid w:val="001929E9"/>
    <w:rsid w:val="00194883"/>
    <w:rsid w:val="001A407F"/>
    <w:rsid w:val="001A5AE0"/>
    <w:rsid w:val="001C0EE6"/>
    <w:rsid w:val="001C4696"/>
    <w:rsid w:val="001C4960"/>
    <w:rsid w:val="001C50E7"/>
    <w:rsid w:val="001D1332"/>
    <w:rsid w:val="001D359E"/>
    <w:rsid w:val="001D37EA"/>
    <w:rsid w:val="001E031D"/>
    <w:rsid w:val="001E1889"/>
    <w:rsid w:val="001E3219"/>
    <w:rsid w:val="001E5301"/>
    <w:rsid w:val="001F05F8"/>
    <w:rsid w:val="001F519C"/>
    <w:rsid w:val="002043A1"/>
    <w:rsid w:val="00206D28"/>
    <w:rsid w:val="00211CF4"/>
    <w:rsid w:val="00213FC5"/>
    <w:rsid w:val="002161F9"/>
    <w:rsid w:val="00220A5E"/>
    <w:rsid w:val="002219E6"/>
    <w:rsid w:val="00223068"/>
    <w:rsid w:val="0023185E"/>
    <w:rsid w:val="002320E6"/>
    <w:rsid w:val="00234D23"/>
    <w:rsid w:val="00240EE6"/>
    <w:rsid w:val="002425A4"/>
    <w:rsid w:val="00245C49"/>
    <w:rsid w:val="0024623E"/>
    <w:rsid w:val="00247F2D"/>
    <w:rsid w:val="00252CCC"/>
    <w:rsid w:val="00256B28"/>
    <w:rsid w:val="002640B5"/>
    <w:rsid w:val="00271D59"/>
    <w:rsid w:val="00274EA9"/>
    <w:rsid w:val="00276A7C"/>
    <w:rsid w:val="00286212"/>
    <w:rsid w:val="0029529F"/>
    <w:rsid w:val="002A38CA"/>
    <w:rsid w:val="002B07E7"/>
    <w:rsid w:val="002B2F91"/>
    <w:rsid w:val="002B3E10"/>
    <w:rsid w:val="002C0E8C"/>
    <w:rsid w:val="002C3302"/>
    <w:rsid w:val="002C648F"/>
    <w:rsid w:val="002D2361"/>
    <w:rsid w:val="002E3928"/>
    <w:rsid w:val="002F2A80"/>
    <w:rsid w:val="002F681A"/>
    <w:rsid w:val="002F7E04"/>
    <w:rsid w:val="00300681"/>
    <w:rsid w:val="003028C3"/>
    <w:rsid w:val="003044A4"/>
    <w:rsid w:val="003047D1"/>
    <w:rsid w:val="0030559E"/>
    <w:rsid w:val="00305BFE"/>
    <w:rsid w:val="00310271"/>
    <w:rsid w:val="0031043D"/>
    <w:rsid w:val="00316D34"/>
    <w:rsid w:val="00317115"/>
    <w:rsid w:val="00321455"/>
    <w:rsid w:val="0032586A"/>
    <w:rsid w:val="00326B55"/>
    <w:rsid w:val="003320FC"/>
    <w:rsid w:val="00351C1E"/>
    <w:rsid w:val="003524EF"/>
    <w:rsid w:val="00366F01"/>
    <w:rsid w:val="00373420"/>
    <w:rsid w:val="003737D4"/>
    <w:rsid w:val="003739E6"/>
    <w:rsid w:val="00374837"/>
    <w:rsid w:val="00377EE1"/>
    <w:rsid w:val="0038183B"/>
    <w:rsid w:val="00384380"/>
    <w:rsid w:val="003958D3"/>
    <w:rsid w:val="00395F67"/>
    <w:rsid w:val="00396F47"/>
    <w:rsid w:val="003A021A"/>
    <w:rsid w:val="003A0958"/>
    <w:rsid w:val="003A7A3C"/>
    <w:rsid w:val="003B6D62"/>
    <w:rsid w:val="003B727B"/>
    <w:rsid w:val="003B730E"/>
    <w:rsid w:val="003B7896"/>
    <w:rsid w:val="003C0245"/>
    <w:rsid w:val="003C70C1"/>
    <w:rsid w:val="003C7B91"/>
    <w:rsid w:val="003D725D"/>
    <w:rsid w:val="003E2206"/>
    <w:rsid w:val="003E43C9"/>
    <w:rsid w:val="003E63FE"/>
    <w:rsid w:val="003F0914"/>
    <w:rsid w:val="00400BA3"/>
    <w:rsid w:val="00400BB9"/>
    <w:rsid w:val="00401EB9"/>
    <w:rsid w:val="00420166"/>
    <w:rsid w:val="004235CF"/>
    <w:rsid w:val="004325CE"/>
    <w:rsid w:val="00435035"/>
    <w:rsid w:val="004363E3"/>
    <w:rsid w:val="00437778"/>
    <w:rsid w:val="00440FCC"/>
    <w:rsid w:val="00442743"/>
    <w:rsid w:val="00445FF9"/>
    <w:rsid w:val="004529C8"/>
    <w:rsid w:val="004575D4"/>
    <w:rsid w:val="00457719"/>
    <w:rsid w:val="00457A04"/>
    <w:rsid w:val="00461CDD"/>
    <w:rsid w:val="00462BDA"/>
    <w:rsid w:val="00462D29"/>
    <w:rsid w:val="004631A2"/>
    <w:rsid w:val="00465232"/>
    <w:rsid w:val="00465AA5"/>
    <w:rsid w:val="004678CD"/>
    <w:rsid w:val="00482D9C"/>
    <w:rsid w:val="0048612C"/>
    <w:rsid w:val="00486DA1"/>
    <w:rsid w:val="00494E1B"/>
    <w:rsid w:val="00495C93"/>
    <w:rsid w:val="00496DD2"/>
    <w:rsid w:val="00497869"/>
    <w:rsid w:val="004A0254"/>
    <w:rsid w:val="004A04FD"/>
    <w:rsid w:val="004A0EF4"/>
    <w:rsid w:val="004A20B9"/>
    <w:rsid w:val="004A22AB"/>
    <w:rsid w:val="004A5042"/>
    <w:rsid w:val="004B7F15"/>
    <w:rsid w:val="004C00AC"/>
    <w:rsid w:val="004C0269"/>
    <w:rsid w:val="004D480C"/>
    <w:rsid w:val="004D528B"/>
    <w:rsid w:val="004D7659"/>
    <w:rsid w:val="004E2D55"/>
    <w:rsid w:val="004E2DF5"/>
    <w:rsid w:val="004E43EA"/>
    <w:rsid w:val="004F22CF"/>
    <w:rsid w:val="004F6419"/>
    <w:rsid w:val="004F6634"/>
    <w:rsid w:val="004F7BE0"/>
    <w:rsid w:val="00504E65"/>
    <w:rsid w:val="00512247"/>
    <w:rsid w:val="00513DD7"/>
    <w:rsid w:val="0052007B"/>
    <w:rsid w:val="00522EA8"/>
    <w:rsid w:val="0052404F"/>
    <w:rsid w:val="0052429D"/>
    <w:rsid w:val="00524C3C"/>
    <w:rsid w:val="00545C4C"/>
    <w:rsid w:val="00545D21"/>
    <w:rsid w:val="0054686C"/>
    <w:rsid w:val="00546F98"/>
    <w:rsid w:val="005473D5"/>
    <w:rsid w:val="00552197"/>
    <w:rsid w:val="005537A6"/>
    <w:rsid w:val="005544FD"/>
    <w:rsid w:val="00555404"/>
    <w:rsid w:val="00556280"/>
    <w:rsid w:val="005625F5"/>
    <w:rsid w:val="00562D7C"/>
    <w:rsid w:val="00570973"/>
    <w:rsid w:val="0057380B"/>
    <w:rsid w:val="00584BAA"/>
    <w:rsid w:val="00593C4C"/>
    <w:rsid w:val="005971D3"/>
    <w:rsid w:val="00597589"/>
    <w:rsid w:val="005A25DD"/>
    <w:rsid w:val="005A2D15"/>
    <w:rsid w:val="005A503A"/>
    <w:rsid w:val="005B0F37"/>
    <w:rsid w:val="005B2B32"/>
    <w:rsid w:val="005B6E90"/>
    <w:rsid w:val="005C015E"/>
    <w:rsid w:val="005C0F5A"/>
    <w:rsid w:val="005C2D7B"/>
    <w:rsid w:val="005C33A3"/>
    <w:rsid w:val="005D075C"/>
    <w:rsid w:val="005D0D11"/>
    <w:rsid w:val="005D7902"/>
    <w:rsid w:val="005E0EB9"/>
    <w:rsid w:val="005E2E0D"/>
    <w:rsid w:val="005E4B02"/>
    <w:rsid w:val="00602F86"/>
    <w:rsid w:val="00606E96"/>
    <w:rsid w:val="00615328"/>
    <w:rsid w:val="00615D4E"/>
    <w:rsid w:val="00621409"/>
    <w:rsid w:val="0062491C"/>
    <w:rsid w:val="006256A2"/>
    <w:rsid w:val="00627D1B"/>
    <w:rsid w:val="00632E73"/>
    <w:rsid w:val="00637143"/>
    <w:rsid w:val="00647D86"/>
    <w:rsid w:val="00651250"/>
    <w:rsid w:val="00652AF4"/>
    <w:rsid w:val="00653D3B"/>
    <w:rsid w:val="006549DF"/>
    <w:rsid w:val="0065534E"/>
    <w:rsid w:val="006555E9"/>
    <w:rsid w:val="00656A11"/>
    <w:rsid w:val="00660116"/>
    <w:rsid w:val="0066125D"/>
    <w:rsid w:val="00661EC6"/>
    <w:rsid w:val="00666482"/>
    <w:rsid w:val="00681E99"/>
    <w:rsid w:val="0068201F"/>
    <w:rsid w:val="00682DD2"/>
    <w:rsid w:val="00686641"/>
    <w:rsid w:val="006918CC"/>
    <w:rsid w:val="0069522A"/>
    <w:rsid w:val="00695F42"/>
    <w:rsid w:val="006B76C3"/>
    <w:rsid w:val="006D0717"/>
    <w:rsid w:val="006D3705"/>
    <w:rsid w:val="006E1C96"/>
    <w:rsid w:val="006E51E1"/>
    <w:rsid w:val="006E5CA8"/>
    <w:rsid w:val="006F28A9"/>
    <w:rsid w:val="006F3418"/>
    <w:rsid w:val="006F7759"/>
    <w:rsid w:val="00701959"/>
    <w:rsid w:val="007024E7"/>
    <w:rsid w:val="00703612"/>
    <w:rsid w:val="00703E18"/>
    <w:rsid w:val="00703E54"/>
    <w:rsid w:val="007043AD"/>
    <w:rsid w:val="00705DD5"/>
    <w:rsid w:val="007134F0"/>
    <w:rsid w:val="00714486"/>
    <w:rsid w:val="007156EF"/>
    <w:rsid w:val="007171FE"/>
    <w:rsid w:val="00717379"/>
    <w:rsid w:val="00717514"/>
    <w:rsid w:val="007178A5"/>
    <w:rsid w:val="00721D5E"/>
    <w:rsid w:val="00723E52"/>
    <w:rsid w:val="00726E85"/>
    <w:rsid w:val="00731AF3"/>
    <w:rsid w:val="00740AC7"/>
    <w:rsid w:val="007412E9"/>
    <w:rsid w:val="007500D2"/>
    <w:rsid w:val="00750961"/>
    <w:rsid w:val="00750FD6"/>
    <w:rsid w:val="0075254C"/>
    <w:rsid w:val="007537D7"/>
    <w:rsid w:val="00755010"/>
    <w:rsid w:val="007623A0"/>
    <w:rsid w:val="007638EA"/>
    <w:rsid w:val="00763EF4"/>
    <w:rsid w:val="0076475E"/>
    <w:rsid w:val="00764BD1"/>
    <w:rsid w:val="007677EC"/>
    <w:rsid w:val="00770A5E"/>
    <w:rsid w:val="00776123"/>
    <w:rsid w:val="00790D86"/>
    <w:rsid w:val="007919DD"/>
    <w:rsid w:val="007924FF"/>
    <w:rsid w:val="00794E3F"/>
    <w:rsid w:val="007A0312"/>
    <w:rsid w:val="007A0DA1"/>
    <w:rsid w:val="007A3EC8"/>
    <w:rsid w:val="007A52F8"/>
    <w:rsid w:val="007A6DBD"/>
    <w:rsid w:val="007B5170"/>
    <w:rsid w:val="007B59A5"/>
    <w:rsid w:val="007C0D49"/>
    <w:rsid w:val="007C2D9B"/>
    <w:rsid w:val="007C344D"/>
    <w:rsid w:val="007C4B80"/>
    <w:rsid w:val="007C7524"/>
    <w:rsid w:val="007D450B"/>
    <w:rsid w:val="007D5645"/>
    <w:rsid w:val="007E1511"/>
    <w:rsid w:val="007E4E13"/>
    <w:rsid w:val="007E55DD"/>
    <w:rsid w:val="007F10EF"/>
    <w:rsid w:val="007F669A"/>
    <w:rsid w:val="007F7717"/>
    <w:rsid w:val="0080555E"/>
    <w:rsid w:val="008062B1"/>
    <w:rsid w:val="00811543"/>
    <w:rsid w:val="00816C8D"/>
    <w:rsid w:val="00820771"/>
    <w:rsid w:val="0082261D"/>
    <w:rsid w:val="008256B4"/>
    <w:rsid w:val="008259BC"/>
    <w:rsid w:val="00827816"/>
    <w:rsid w:val="00830B56"/>
    <w:rsid w:val="00834435"/>
    <w:rsid w:val="00834733"/>
    <w:rsid w:val="00834EB9"/>
    <w:rsid w:val="00837A07"/>
    <w:rsid w:val="008419A8"/>
    <w:rsid w:val="0084270D"/>
    <w:rsid w:val="00843BA5"/>
    <w:rsid w:val="00845472"/>
    <w:rsid w:val="0084613B"/>
    <w:rsid w:val="00850E11"/>
    <w:rsid w:val="00851F21"/>
    <w:rsid w:val="00853A5C"/>
    <w:rsid w:val="008638E1"/>
    <w:rsid w:val="0087185E"/>
    <w:rsid w:val="0087496B"/>
    <w:rsid w:val="00877495"/>
    <w:rsid w:val="00880D05"/>
    <w:rsid w:val="00886CF6"/>
    <w:rsid w:val="0089443D"/>
    <w:rsid w:val="008A0ED6"/>
    <w:rsid w:val="008A55C6"/>
    <w:rsid w:val="008B38FF"/>
    <w:rsid w:val="008B6D72"/>
    <w:rsid w:val="008B769E"/>
    <w:rsid w:val="008C0D79"/>
    <w:rsid w:val="008C3985"/>
    <w:rsid w:val="008C4043"/>
    <w:rsid w:val="008D35C8"/>
    <w:rsid w:val="008D5D78"/>
    <w:rsid w:val="008D741D"/>
    <w:rsid w:val="008E01C4"/>
    <w:rsid w:val="008E5DE9"/>
    <w:rsid w:val="008F12F3"/>
    <w:rsid w:val="0090011F"/>
    <w:rsid w:val="009015F6"/>
    <w:rsid w:val="009110A4"/>
    <w:rsid w:val="00914AFF"/>
    <w:rsid w:val="009176C8"/>
    <w:rsid w:val="009200A3"/>
    <w:rsid w:val="00920389"/>
    <w:rsid w:val="009227B3"/>
    <w:rsid w:val="00922E9D"/>
    <w:rsid w:val="00923A8D"/>
    <w:rsid w:val="009329CD"/>
    <w:rsid w:val="0094135E"/>
    <w:rsid w:val="00941B78"/>
    <w:rsid w:val="009421C4"/>
    <w:rsid w:val="0094730E"/>
    <w:rsid w:val="00950001"/>
    <w:rsid w:val="00951B43"/>
    <w:rsid w:val="0095400E"/>
    <w:rsid w:val="00955EBF"/>
    <w:rsid w:val="00957520"/>
    <w:rsid w:val="00962148"/>
    <w:rsid w:val="00962FF6"/>
    <w:rsid w:val="0096312F"/>
    <w:rsid w:val="00963B94"/>
    <w:rsid w:val="009643B4"/>
    <w:rsid w:val="00965D77"/>
    <w:rsid w:val="00967A7A"/>
    <w:rsid w:val="00970261"/>
    <w:rsid w:val="00972106"/>
    <w:rsid w:val="0097491B"/>
    <w:rsid w:val="009762D3"/>
    <w:rsid w:val="0097697C"/>
    <w:rsid w:val="0098000F"/>
    <w:rsid w:val="00980F0E"/>
    <w:rsid w:val="00983962"/>
    <w:rsid w:val="00990AEE"/>
    <w:rsid w:val="00995041"/>
    <w:rsid w:val="00997EBD"/>
    <w:rsid w:val="009A37DB"/>
    <w:rsid w:val="009A3DB4"/>
    <w:rsid w:val="009B1563"/>
    <w:rsid w:val="009B4639"/>
    <w:rsid w:val="009B4976"/>
    <w:rsid w:val="009B4B9D"/>
    <w:rsid w:val="009B54A0"/>
    <w:rsid w:val="009B7188"/>
    <w:rsid w:val="009D0EF3"/>
    <w:rsid w:val="009E274F"/>
    <w:rsid w:val="009F19DF"/>
    <w:rsid w:val="009F4F1D"/>
    <w:rsid w:val="009F70BD"/>
    <w:rsid w:val="00A00DE7"/>
    <w:rsid w:val="00A04C54"/>
    <w:rsid w:val="00A05DEE"/>
    <w:rsid w:val="00A11F92"/>
    <w:rsid w:val="00A22F75"/>
    <w:rsid w:val="00A26AC3"/>
    <w:rsid w:val="00A31B84"/>
    <w:rsid w:val="00A3398B"/>
    <w:rsid w:val="00A37CFE"/>
    <w:rsid w:val="00A40946"/>
    <w:rsid w:val="00A621BC"/>
    <w:rsid w:val="00A65456"/>
    <w:rsid w:val="00A763E7"/>
    <w:rsid w:val="00A77876"/>
    <w:rsid w:val="00A81377"/>
    <w:rsid w:val="00A87A54"/>
    <w:rsid w:val="00A93393"/>
    <w:rsid w:val="00AA02F6"/>
    <w:rsid w:val="00AA0D57"/>
    <w:rsid w:val="00AB025D"/>
    <w:rsid w:val="00AB1444"/>
    <w:rsid w:val="00AC246F"/>
    <w:rsid w:val="00AC6240"/>
    <w:rsid w:val="00AC7DFF"/>
    <w:rsid w:val="00AD0F1D"/>
    <w:rsid w:val="00AD571B"/>
    <w:rsid w:val="00AD5B9F"/>
    <w:rsid w:val="00AD6482"/>
    <w:rsid w:val="00AE4730"/>
    <w:rsid w:val="00AE5933"/>
    <w:rsid w:val="00AF6165"/>
    <w:rsid w:val="00AF73E9"/>
    <w:rsid w:val="00B008BF"/>
    <w:rsid w:val="00B010F5"/>
    <w:rsid w:val="00B04E79"/>
    <w:rsid w:val="00B1237F"/>
    <w:rsid w:val="00B14A3F"/>
    <w:rsid w:val="00B278B8"/>
    <w:rsid w:val="00B31916"/>
    <w:rsid w:val="00B32982"/>
    <w:rsid w:val="00B412D0"/>
    <w:rsid w:val="00B41F85"/>
    <w:rsid w:val="00B42635"/>
    <w:rsid w:val="00B42EFD"/>
    <w:rsid w:val="00B43370"/>
    <w:rsid w:val="00B44158"/>
    <w:rsid w:val="00B469E4"/>
    <w:rsid w:val="00B5439B"/>
    <w:rsid w:val="00B56B09"/>
    <w:rsid w:val="00B57F19"/>
    <w:rsid w:val="00B601FA"/>
    <w:rsid w:val="00B613BE"/>
    <w:rsid w:val="00B64A88"/>
    <w:rsid w:val="00B6511F"/>
    <w:rsid w:val="00B6575E"/>
    <w:rsid w:val="00B6712C"/>
    <w:rsid w:val="00B73C8D"/>
    <w:rsid w:val="00B82A95"/>
    <w:rsid w:val="00B84A02"/>
    <w:rsid w:val="00B85C98"/>
    <w:rsid w:val="00B90DA6"/>
    <w:rsid w:val="00B92EE8"/>
    <w:rsid w:val="00B97AFD"/>
    <w:rsid w:val="00BA0C70"/>
    <w:rsid w:val="00BA2CC6"/>
    <w:rsid w:val="00BA2D41"/>
    <w:rsid w:val="00BA3AC9"/>
    <w:rsid w:val="00BA4143"/>
    <w:rsid w:val="00BA5B1A"/>
    <w:rsid w:val="00BB219B"/>
    <w:rsid w:val="00BB5458"/>
    <w:rsid w:val="00BB7912"/>
    <w:rsid w:val="00BC19BA"/>
    <w:rsid w:val="00BC1CC0"/>
    <w:rsid w:val="00BC2C82"/>
    <w:rsid w:val="00BD35A2"/>
    <w:rsid w:val="00BD5752"/>
    <w:rsid w:val="00BD60B5"/>
    <w:rsid w:val="00BD7275"/>
    <w:rsid w:val="00BE28B7"/>
    <w:rsid w:val="00BE3FE9"/>
    <w:rsid w:val="00BE7FC6"/>
    <w:rsid w:val="00BF0243"/>
    <w:rsid w:val="00BF19D8"/>
    <w:rsid w:val="00BF1AAE"/>
    <w:rsid w:val="00BF2195"/>
    <w:rsid w:val="00C03AB7"/>
    <w:rsid w:val="00C03FF2"/>
    <w:rsid w:val="00C04E70"/>
    <w:rsid w:val="00C10313"/>
    <w:rsid w:val="00C1181C"/>
    <w:rsid w:val="00C1403A"/>
    <w:rsid w:val="00C14B5D"/>
    <w:rsid w:val="00C16713"/>
    <w:rsid w:val="00C1768F"/>
    <w:rsid w:val="00C20D43"/>
    <w:rsid w:val="00C219B7"/>
    <w:rsid w:val="00C22E7D"/>
    <w:rsid w:val="00C22F31"/>
    <w:rsid w:val="00C23A23"/>
    <w:rsid w:val="00C24E4A"/>
    <w:rsid w:val="00C309DD"/>
    <w:rsid w:val="00C338CD"/>
    <w:rsid w:val="00C3645F"/>
    <w:rsid w:val="00C36DFD"/>
    <w:rsid w:val="00C437FE"/>
    <w:rsid w:val="00C46828"/>
    <w:rsid w:val="00C519BC"/>
    <w:rsid w:val="00C54BED"/>
    <w:rsid w:val="00C54DD1"/>
    <w:rsid w:val="00C570E1"/>
    <w:rsid w:val="00C604AF"/>
    <w:rsid w:val="00C64E73"/>
    <w:rsid w:val="00C66249"/>
    <w:rsid w:val="00C71857"/>
    <w:rsid w:val="00C77191"/>
    <w:rsid w:val="00C81BA7"/>
    <w:rsid w:val="00C85FF6"/>
    <w:rsid w:val="00C87564"/>
    <w:rsid w:val="00CA423F"/>
    <w:rsid w:val="00CB1608"/>
    <w:rsid w:val="00CB3785"/>
    <w:rsid w:val="00CB5069"/>
    <w:rsid w:val="00CC0FDD"/>
    <w:rsid w:val="00CC1528"/>
    <w:rsid w:val="00CC1C61"/>
    <w:rsid w:val="00CC2D02"/>
    <w:rsid w:val="00CC3E4A"/>
    <w:rsid w:val="00CD2641"/>
    <w:rsid w:val="00CD4556"/>
    <w:rsid w:val="00CE1C42"/>
    <w:rsid w:val="00CE2D47"/>
    <w:rsid w:val="00CE39E0"/>
    <w:rsid w:val="00CE7DF2"/>
    <w:rsid w:val="00CF00E3"/>
    <w:rsid w:val="00CF093E"/>
    <w:rsid w:val="00CF1602"/>
    <w:rsid w:val="00CF1B81"/>
    <w:rsid w:val="00CF1BAA"/>
    <w:rsid w:val="00CF34E8"/>
    <w:rsid w:val="00D0261F"/>
    <w:rsid w:val="00D034B7"/>
    <w:rsid w:val="00D05DF5"/>
    <w:rsid w:val="00D14185"/>
    <w:rsid w:val="00D17439"/>
    <w:rsid w:val="00D22917"/>
    <w:rsid w:val="00D26F72"/>
    <w:rsid w:val="00D32EFB"/>
    <w:rsid w:val="00D360C5"/>
    <w:rsid w:val="00D409A8"/>
    <w:rsid w:val="00D42D9A"/>
    <w:rsid w:val="00D50A92"/>
    <w:rsid w:val="00D55D70"/>
    <w:rsid w:val="00D576D7"/>
    <w:rsid w:val="00D6278F"/>
    <w:rsid w:val="00D75448"/>
    <w:rsid w:val="00D756FD"/>
    <w:rsid w:val="00D75C33"/>
    <w:rsid w:val="00D821AE"/>
    <w:rsid w:val="00D9009B"/>
    <w:rsid w:val="00D922F6"/>
    <w:rsid w:val="00D96987"/>
    <w:rsid w:val="00DA423D"/>
    <w:rsid w:val="00DA514C"/>
    <w:rsid w:val="00DA667C"/>
    <w:rsid w:val="00DA7301"/>
    <w:rsid w:val="00DB136E"/>
    <w:rsid w:val="00DB3D33"/>
    <w:rsid w:val="00DB4FE6"/>
    <w:rsid w:val="00DC061F"/>
    <w:rsid w:val="00DC39C5"/>
    <w:rsid w:val="00DC3EF3"/>
    <w:rsid w:val="00DC493E"/>
    <w:rsid w:val="00DC63C0"/>
    <w:rsid w:val="00DD748D"/>
    <w:rsid w:val="00DE2617"/>
    <w:rsid w:val="00DE3290"/>
    <w:rsid w:val="00DE4686"/>
    <w:rsid w:val="00DF115D"/>
    <w:rsid w:val="00DF1E02"/>
    <w:rsid w:val="00DF5D78"/>
    <w:rsid w:val="00DF6C35"/>
    <w:rsid w:val="00DF6CCB"/>
    <w:rsid w:val="00E0109B"/>
    <w:rsid w:val="00E13977"/>
    <w:rsid w:val="00E158C0"/>
    <w:rsid w:val="00E15CC8"/>
    <w:rsid w:val="00E17B6F"/>
    <w:rsid w:val="00E22E74"/>
    <w:rsid w:val="00E249E2"/>
    <w:rsid w:val="00E25950"/>
    <w:rsid w:val="00E4127A"/>
    <w:rsid w:val="00E42C8D"/>
    <w:rsid w:val="00E43D28"/>
    <w:rsid w:val="00E45703"/>
    <w:rsid w:val="00E463D4"/>
    <w:rsid w:val="00E50BC4"/>
    <w:rsid w:val="00E54EC0"/>
    <w:rsid w:val="00E73B5F"/>
    <w:rsid w:val="00E761F7"/>
    <w:rsid w:val="00E829DC"/>
    <w:rsid w:val="00E83506"/>
    <w:rsid w:val="00E85CF7"/>
    <w:rsid w:val="00E90502"/>
    <w:rsid w:val="00E91598"/>
    <w:rsid w:val="00E96DD1"/>
    <w:rsid w:val="00EA0CB3"/>
    <w:rsid w:val="00EA1E0B"/>
    <w:rsid w:val="00EA5F56"/>
    <w:rsid w:val="00EA7B9E"/>
    <w:rsid w:val="00EC0220"/>
    <w:rsid w:val="00EC2860"/>
    <w:rsid w:val="00EC2992"/>
    <w:rsid w:val="00EC3E2E"/>
    <w:rsid w:val="00ED44E6"/>
    <w:rsid w:val="00ED749C"/>
    <w:rsid w:val="00EE0FB7"/>
    <w:rsid w:val="00EE188E"/>
    <w:rsid w:val="00EE3523"/>
    <w:rsid w:val="00EE69AF"/>
    <w:rsid w:val="00EE6D91"/>
    <w:rsid w:val="00EF421D"/>
    <w:rsid w:val="00EF4FDE"/>
    <w:rsid w:val="00F12C03"/>
    <w:rsid w:val="00F201A1"/>
    <w:rsid w:val="00F20C2D"/>
    <w:rsid w:val="00F21AFE"/>
    <w:rsid w:val="00F236B2"/>
    <w:rsid w:val="00F25A3F"/>
    <w:rsid w:val="00F27917"/>
    <w:rsid w:val="00F3241A"/>
    <w:rsid w:val="00F33A78"/>
    <w:rsid w:val="00F33E81"/>
    <w:rsid w:val="00F43692"/>
    <w:rsid w:val="00F44D38"/>
    <w:rsid w:val="00F45C2C"/>
    <w:rsid w:val="00F4795C"/>
    <w:rsid w:val="00F50A50"/>
    <w:rsid w:val="00F50EB0"/>
    <w:rsid w:val="00F51344"/>
    <w:rsid w:val="00F54018"/>
    <w:rsid w:val="00F54DC8"/>
    <w:rsid w:val="00F56D0D"/>
    <w:rsid w:val="00F60324"/>
    <w:rsid w:val="00F61203"/>
    <w:rsid w:val="00F641A7"/>
    <w:rsid w:val="00F7205E"/>
    <w:rsid w:val="00F72A72"/>
    <w:rsid w:val="00F77085"/>
    <w:rsid w:val="00F85A28"/>
    <w:rsid w:val="00F91303"/>
    <w:rsid w:val="00F96FDC"/>
    <w:rsid w:val="00F979F9"/>
    <w:rsid w:val="00FA27FD"/>
    <w:rsid w:val="00FA2943"/>
    <w:rsid w:val="00FA6742"/>
    <w:rsid w:val="00FB2AB6"/>
    <w:rsid w:val="00FB41E4"/>
    <w:rsid w:val="00FB430F"/>
    <w:rsid w:val="00FB54F9"/>
    <w:rsid w:val="00FB63C1"/>
    <w:rsid w:val="00FB6674"/>
    <w:rsid w:val="00FC125E"/>
    <w:rsid w:val="00FC38B3"/>
    <w:rsid w:val="00FC58C8"/>
    <w:rsid w:val="00FC7BD6"/>
    <w:rsid w:val="00FC7D0D"/>
    <w:rsid w:val="00FD43C9"/>
    <w:rsid w:val="00FD5531"/>
    <w:rsid w:val="00FE282A"/>
    <w:rsid w:val="00FE3147"/>
    <w:rsid w:val="00FE36D4"/>
    <w:rsid w:val="00FE629C"/>
    <w:rsid w:val="00FF421C"/>
    <w:rsid w:val="00FF4856"/>
    <w:rsid w:val="00FF57DB"/>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 w:type="paragraph" w:styleId="NormalWeb">
    <w:name w:val="Normal (Web)"/>
    <w:basedOn w:val="Normal"/>
    <w:uiPriority w:val="99"/>
    <w:semiHidden/>
    <w:unhideWhenUsed/>
    <w:rsid w:val="00274EA9"/>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4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573172">
      <w:bodyDiv w:val="1"/>
      <w:marLeft w:val="0"/>
      <w:marRight w:val="0"/>
      <w:marTop w:val="0"/>
      <w:marBottom w:val="0"/>
      <w:divBdr>
        <w:top w:val="none" w:sz="0" w:space="0" w:color="auto"/>
        <w:left w:val="none" w:sz="0" w:space="0" w:color="auto"/>
        <w:bottom w:val="none" w:sz="0" w:space="0" w:color="auto"/>
        <w:right w:val="none" w:sz="0" w:space="0" w:color="auto"/>
      </w:divBdr>
    </w:div>
    <w:div w:id="517548152">
      <w:bodyDiv w:val="1"/>
      <w:marLeft w:val="0"/>
      <w:marRight w:val="0"/>
      <w:marTop w:val="0"/>
      <w:marBottom w:val="0"/>
      <w:divBdr>
        <w:top w:val="none" w:sz="0" w:space="0" w:color="auto"/>
        <w:left w:val="none" w:sz="0" w:space="0" w:color="auto"/>
        <w:bottom w:val="none" w:sz="0" w:space="0" w:color="auto"/>
        <w:right w:val="none" w:sz="0" w:space="0" w:color="auto"/>
      </w:divBdr>
    </w:div>
    <w:div w:id="828591810">
      <w:bodyDiv w:val="1"/>
      <w:marLeft w:val="0"/>
      <w:marRight w:val="0"/>
      <w:marTop w:val="0"/>
      <w:marBottom w:val="0"/>
      <w:divBdr>
        <w:top w:val="none" w:sz="0" w:space="0" w:color="auto"/>
        <w:left w:val="none" w:sz="0" w:space="0" w:color="auto"/>
        <w:bottom w:val="none" w:sz="0" w:space="0" w:color="auto"/>
        <w:right w:val="none" w:sz="0" w:space="0" w:color="auto"/>
      </w:divBdr>
    </w:div>
    <w:div w:id="957832400">
      <w:bodyDiv w:val="1"/>
      <w:marLeft w:val="0"/>
      <w:marRight w:val="0"/>
      <w:marTop w:val="0"/>
      <w:marBottom w:val="0"/>
      <w:divBdr>
        <w:top w:val="none" w:sz="0" w:space="0" w:color="auto"/>
        <w:left w:val="none" w:sz="0" w:space="0" w:color="auto"/>
        <w:bottom w:val="none" w:sz="0" w:space="0" w:color="auto"/>
        <w:right w:val="none" w:sz="0" w:space="0" w:color="auto"/>
      </w:divBdr>
    </w:div>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 w:id="1334993572">
      <w:bodyDiv w:val="1"/>
      <w:marLeft w:val="0"/>
      <w:marRight w:val="0"/>
      <w:marTop w:val="0"/>
      <w:marBottom w:val="0"/>
      <w:divBdr>
        <w:top w:val="none" w:sz="0" w:space="0" w:color="auto"/>
        <w:left w:val="none" w:sz="0" w:space="0" w:color="auto"/>
        <w:bottom w:val="none" w:sz="0" w:space="0" w:color="auto"/>
        <w:right w:val="none" w:sz="0" w:space="0" w:color="auto"/>
      </w:divBdr>
    </w:div>
    <w:div w:id="1758862141">
      <w:bodyDiv w:val="1"/>
      <w:marLeft w:val="0"/>
      <w:marRight w:val="0"/>
      <w:marTop w:val="0"/>
      <w:marBottom w:val="0"/>
      <w:divBdr>
        <w:top w:val="none" w:sz="0" w:space="0" w:color="auto"/>
        <w:left w:val="none" w:sz="0" w:space="0" w:color="auto"/>
        <w:bottom w:val="none" w:sz="0" w:space="0" w:color="auto"/>
        <w:right w:val="none" w:sz="0" w:space="0" w:color="auto"/>
      </w:divBdr>
    </w:div>
    <w:div w:id="1797992042">
      <w:bodyDiv w:val="1"/>
      <w:marLeft w:val="0"/>
      <w:marRight w:val="0"/>
      <w:marTop w:val="0"/>
      <w:marBottom w:val="0"/>
      <w:divBdr>
        <w:top w:val="none" w:sz="0" w:space="0" w:color="auto"/>
        <w:left w:val="none" w:sz="0" w:space="0" w:color="auto"/>
        <w:bottom w:val="none" w:sz="0" w:space="0" w:color="auto"/>
        <w:right w:val="none" w:sz="0" w:space="0" w:color="auto"/>
      </w:divBdr>
    </w:div>
    <w:div w:id="1850176465">
      <w:bodyDiv w:val="1"/>
      <w:marLeft w:val="0"/>
      <w:marRight w:val="0"/>
      <w:marTop w:val="0"/>
      <w:marBottom w:val="0"/>
      <w:divBdr>
        <w:top w:val="none" w:sz="0" w:space="0" w:color="auto"/>
        <w:left w:val="none" w:sz="0" w:space="0" w:color="auto"/>
        <w:bottom w:val="none" w:sz="0" w:space="0" w:color="auto"/>
        <w:right w:val="none" w:sz="0" w:space="0" w:color="auto"/>
      </w:divBdr>
    </w:div>
    <w:div w:id="1882983043">
      <w:bodyDiv w:val="1"/>
      <w:marLeft w:val="0"/>
      <w:marRight w:val="0"/>
      <w:marTop w:val="0"/>
      <w:marBottom w:val="0"/>
      <w:divBdr>
        <w:top w:val="none" w:sz="0" w:space="0" w:color="auto"/>
        <w:left w:val="none" w:sz="0" w:space="0" w:color="auto"/>
        <w:bottom w:val="none" w:sz="0" w:space="0" w:color="auto"/>
        <w:right w:val="none" w:sz="0" w:space="0" w:color="auto"/>
      </w:divBdr>
    </w:div>
    <w:div w:id="1948389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apnews.com/article/housing-home-sales-real-estate-home-prices-c728c63e2a62a3fa8b9e3f50c4eb266d"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onference-board.org/topics/consumer-confid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pnews.com/article/economy-growth-inflation-gdp-consumers-federal-reserve-869a27c99459a1ad10d0db89718f725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327f4a55d96fdbb97fb4a5207b2da296">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f304326ddb9aac930772af2500854d66"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F4E3A-1661-403C-BC2D-EE0D155A91C0}">
  <ds:schemaRefs>
    <ds:schemaRef ds:uri="http://schemas.microsoft.com/sharepoint/v3/contenttype/forms"/>
  </ds:schemaRefs>
</ds:datastoreItem>
</file>

<file path=customXml/itemProps2.xml><?xml version="1.0" encoding="utf-8"?>
<ds:datastoreItem xmlns:ds="http://schemas.openxmlformats.org/officeDocument/2006/customXml" ds:itemID="{F2AD4399-CE82-48F9-95BE-3A7DA7F2F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4.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1319</Words>
  <Characters>7531</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3</cp:revision>
  <cp:lastPrinted>2024-07-02T13:53:00Z</cp:lastPrinted>
  <dcterms:created xsi:type="dcterms:W3CDTF">2024-07-02T13:52:00Z</dcterms:created>
  <dcterms:modified xsi:type="dcterms:W3CDTF">2024-07-02T13:58:00Z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