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0DAA81CD" w:rsidR="00730139" w:rsidRPr="000A77AA" w:rsidRDefault="004013A7" w:rsidP="0086174A">
      <w:pPr>
        <w:ind w:firstLine="720"/>
        <w:rPr>
          <w:rFonts w:cstheme="minorHAnsi"/>
          <w:color w:val="58595B"/>
          <w:spacing w:val="-5"/>
          <w:sz w:val="20"/>
          <w:szCs w:val="20"/>
        </w:rPr>
      </w:pPr>
      <w:r>
        <w:rPr>
          <w:rFonts w:cstheme="minorHAnsi"/>
          <w:b/>
          <w:color w:val="005EA4"/>
          <w:sz w:val="28"/>
          <w:szCs w:val="28"/>
        </w:rPr>
        <w:t xml:space="preserve">Second </w:t>
      </w:r>
      <w:r w:rsidR="00A35BBB" w:rsidRPr="000A77AA">
        <w:rPr>
          <w:rFonts w:cstheme="minorHAnsi"/>
          <w:b/>
          <w:color w:val="005EA4"/>
          <w:sz w:val="28"/>
          <w:szCs w:val="28"/>
        </w:rPr>
        <w:t>Quarter 202</w:t>
      </w:r>
      <w:r w:rsidR="00A35BBB">
        <w:rPr>
          <w:rFonts w:cstheme="minorHAnsi"/>
          <w:b/>
          <w:color w:val="005EA4"/>
          <w:sz w:val="28"/>
          <w:szCs w:val="28"/>
        </w:rPr>
        <w:t>4:</w:t>
      </w:r>
      <w:r w:rsidR="00A35BBB" w:rsidRPr="000A77AA">
        <w:rPr>
          <w:rFonts w:cstheme="minorHAnsi"/>
          <w:b/>
          <w:color w:val="005EA4"/>
          <w:sz w:val="28"/>
          <w:szCs w:val="28"/>
        </w:rPr>
        <w:t xml:space="preserve"> Quarterly 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586D2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rsidSect="00586D21">
          <w:type w:val="continuous"/>
          <w:pgSz w:w="12240" w:h="15840"/>
          <w:pgMar w:top="0" w:right="0" w:bottom="0" w:left="0" w:header="720" w:footer="720" w:gutter="0"/>
          <w:cols w:space="720"/>
        </w:sectPr>
      </w:pPr>
    </w:p>
    <w:p w14:paraId="7015BA81" w14:textId="77777777" w:rsidR="00741BF1" w:rsidRDefault="00741BF1" w:rsidP="00D2575B">
      <w:pPr>
        <w:pStyle w:val="BodyText"/>
        <w:tabs>
          <w:tab w:val="left" w:pos="12240"/>
        </w:tabs>
        <w:spacing w:before="58"/>
        <w:ind w:left="0"/>
        <w:rPr>
          <w:rFonts w:asciiTheme="minorHAnsi" w:eastAsiaTheme="minorEastAsia" w:hAnsiTheme="minorHAnsi"/>
          <w:sz w:val="22"/>
          <w:szCs w:val="22"/>
        </w:rPr>
      </w:pPr>
    </w:p>
    <w:p w14:paraId="2290B51A" w14:textId="0A8F8247" w:rsidR="001150B9" w:rsidRPr="006F1504" w:rsidRDefault="001150B9" w:rsidP="001150B9">
      <w:pPr>
        <w:spacing w:after="60"/>
        <w:rPr>
          <w:rFonts w:cstheme="minorHAnsi"/>
          <w:color w:val="58595B"/>
        </w:rPr>
      </w:pPr>
      <w:r w:rsidRPr="001150B9">
        <w:rPr>
          <w:rFonts w:cstheme="minorHAnsi"/>
          <w:color w:val="58595B"/>
        </w:rPr>
        <w:t>U</w:t>
      </w:r>
      <w:r w:rsidR="00F90ABA">
        <w:rPr>
          <w:rFonts w:cstheme="minorHAnsi"/>
          <w:color w:val="58595B"/>
        </w:rPr>
        <w:t>.S.</w:t>
      </w:r>
      <w:r w:rsidRPr="001150B9">
        <w:rPr>
          <w:rFonts w:cstheme="minorHAnsi"/>
          <w:color w:val="58595B"/>
        </w:rPr>
        <w:t xml:space="preserve"> stocks extended their bull market run this quarter (April 1-June 28</w:t>
      </w:r>
      <w:r w:rsidRPr="001150B9">
        <w:rPr>
          <w:rFonts w:cstheme="minorHAnsi"/>
          <w:color w:val="58595B"/>
          <w:vertAlign w:val="superscript"/>
        </w:rPr>
        <w:t>th</w:t>
      </w:r>
      <w:r w:rsidR="00F90ABA">
        <w:rPr>
          <w:rFonts w:cstheme="minorHAnsi"/>
          <w:color w:val="58595B"/>
          <w:vertAlign w:val="superscript"/>
        </w:rPr>
        <w:t>,</w:t>
      </w:r>
      <w:r w:rsidRPr="001150B9">
        <w:rPr>
          <w:rFonts w:cstheme="minorHAnsi"/>
          <w:color w:val="58595B"/>
        </w:rPr>
        <w:t xml:space="preserve"> 2024)</w:t>
      </w:r>
      <w:r w:rsidR="00F90ABA">
        <w:rPr>
          <w:rFonts w:cstheme="minorHAnsi"/>
          <w:color w:val="58595B"/>
        </w:rPr>
        <w:t>,</w:t>
      </w:r>
      <w:r w:rsidRPr="001150B9">
        <w:rPr>
          <w:rFonts w:cstheme="minorHAnsi"/>
          <w:color w:val="58595B"/>
        </w:rPr>
        <w:t xml:space="preserve"> with the Russell 3000 up 3.2%. The rally is still somewhat narrow</w:t>
      </w:r>
      <w:r w:rsidR="000329EF">
        <w:rPr>
          <w:rFonts w:cstheme="minorHAnsi"/>
          <w:color w:val="58595B"/>
        </w:rPr>
        <w:t>,</w:t>
      </w:r>
      <w:r w:rsidRPr="001150B9">
        <w:rPr>
          <w:rFonts w:cstheme="minorHAnsi"/>
          <w:color w:val="58595B"/>
        </w:rPr>
        <w:t xml:space="preserve"> with the Magnificent 7 leading the charge. Inflation</w:t>
      </w:r>
      <w:r w:rsidR="000329EF">
        <w:rPr>
          <w:rFonts w:cstheme="minorHAnsi"/>
          <w:color w:val="58595B"/>
        </w:rPr>
        <w:t>'</w:t>
      </w:r>
      <w:r w:rsidRPr="001150B9">
        <w:rPr>
          <w:rFonts w:cstheme="minorHAnsi"/>
          <w:color w:val="58595B"/>
        </w:rPr>
        <w:t>s progress toward the Fed</w:t>
      </w:r>
      <w:r w:rsidR="000329EF">
        <w:rPr>
          <w:rFonts w:cstheme="minorHAnsi"/>
          <w:color w:val="58595B"/>
        </w:rPr>
        <w:t>'</w:t>
      </w:r>
      <w:r w:rsidRPr="001150B9">
        <w:rPr>
          <w:rFonts w:cstheme="minorHAnsi"/>
          <w:color w:val="58595B"/>
        </w:rPr>
        <w:t>s 2% target has stalled</w:t>
      </w:r>
      <w:r w:rsidR="000329EF">
        <w:rPr>
          <w:rFonts w:cstheme="minorHAnsi"/>
          <w:color w:val="58595B"/>
        </w:rPr>
        <w:t>,</w:t>
      </w:r>
      <w:r w:rsidRPr="001150B9">
        <w:rPr>
          <w:rFonts w:cstheme="minorHAnsi"/>
          <w:color w:val="58595B"/>
        </w:rPr>
        <w:t xml:space="preserve"> with headline CPI inflation hovering between 3.0-3.5%. Bonds, as measured by the Bloomberg Aggregate, were flat </w:t>
      </w:r>
      <w:proofErr w:type="gramStart"/>
      <w:r w:rsidRPr="001150B9">
        <w:rPr>
          <w:rFonts w:cstheme="minorHAnsi"/>
          <w:color w:val="58595B"/>
        </w:rPr>
        <w:t>on</w:t>
      </w:r>
      <w:proofErr w:type="gramEnd"/>
      <w:r w:rsidRPr="001150B9">
        <w:rPr>
          <w:rFonts w:cstheme="minorHAnsi"/>
          <w:color w:val="58595B"/>
        </w:rPr>
        <w:t xml:space="preserve"> the quarter as the price impact of slightly higher yields offset coupon income. </w:t>
      </w:r>
    </w:p>
    <w:p w14:paraId="4363BBF2" w14:textId="77777777" w:rsidR="00EA53D2" w:rsidRPr="001150B9" w:rsidRDefault="00EA53D2" w:rsidP="001150B9">
      <w:pPr>
        <w:spacing w:after="60"/>
        <w:rPr>
          <w:rFonts w:cstheme="minorHAnsi"/>
          <w:color w:val="58595B"/>
        </w:rPr>
      </w:pPr>
    </w:p>
    <w:p w14:paraId="24805ECB" w14:textId="38A54C62" w:rsidR="001150B9" w:rsidRPr="006F1504" w:rsidRDefault="001150B9" w:rsidP="001150B9">
      <w:pPr>
        <w:spacing w:after="60"/>
        <w:rPr>
          <w:rFonts w:cstheme="minorHAnsi"/>
          <w:color w:val="58595B"/>
        </w:rPr>
      </w:pPr>
      <w:r w:rsidRPr="001150B9">
        <w:rPr>
          <w:rFonts w:cstheme="minorHAnsi"/>
          <w:color w:val="58595B"/>
        </w:rPr>
        <w:t>Will the good times continue to roll for the remainder of the year? Hopefully, but hope is not a strategy</w:t>
      </w:r>
      <w:r w:rsidR="002E0966">
        <w:rPr>
          <w:rFonts w:cstheme="minorHAnsi"/>
          <w:color w:val="58595B"/>
        </w:rPr>
        <w:t>,</w:t>
      </w:r>
      <w:r w:rsidRPr="001150B9">
        <w:rPr>
          <w:rFonts w:cstheme="minorHAnsi"/>
          <w:color w:val="58595B"/>
        </w:rPr>
        <w:t xml:space="preserve"> and investors' discipline will be tested. The field of behavioral finance has shown that letting our emotions govern investment behavior often leads to irrational decisions that can cost us dearly. No one is immune</w:t>
      </w:r>
      <w:r w:rsidR="0078690C">
        <w:rPr>
          <w:rFonts w:cstheme="minorHAnsi"/>
          <w:color w:val="58595B"/>
        </w:rPr>
        <w:t>,</w:t>
      </w:r>
      <w:r w:rsidRPr="001150B9">
        <w:rPr>
          <w:rFonts w:cstheme="minorHAnsi"/>
          <w:color w:val="58595B"/>
        </w:rPr>
        <w:t xml:space="preserve"> and this is why we need a disciplined framework to guide our decisions.</w:t>
      </w:r>
    </w:p>
    <w:p w14:paraId="5669D140" w14:textId="77777777" w:rsidR="00EA53D2" w:rsidRPr="001150B9" w:rsidRDefault="00EA53D2" w:rsidP="001150B9">
      <w:pPr>
        <w:spacing w:after="60"/>
        <w:rPr>
          <w:rFonts w:cstheme="minorHAnsi"/>
          <w:color w:val="58595B"/>
        </w:rPr>
      </w:pPr>
    </w:p>
    <w:p w14:paraId="6BC15BFF" w14:textId="18B3E489" w:rsidR="001150B9" w:rsidRPr="006F1504" w:rsidRDefault="001150B9" w:rsidP="001150B9">
      <w:pPr>
        <w:spacing w:after="60"/>
        <w:rPr>
          <w:rFonts w:cstheme="minorHAnsi"/>
          <w:color w:val="58595B"/>
        </w:rPr>
      </w:pPr>
      <w:r w:rsidRPr="001150B9">
        <w:rPr>
          <w:rFonts w:cstheme="minorHAnsi"/>
          <w:color w:val="58595B"/>
        </w:rPr>
        <w:t xml:space="preserve">Narrative-driven investing tends to drive most investors into either the fear camp or </w:t>
      </w:r>
      <w:r w:rsidR="005F0EEC">
        <w:rPr>
          <w:rFonts w:cstheme="minorHAnsi"/>
          <w:color w:val="58595B"/>
        </w:rPr>
        <w:t xml:space="preserve">the </w:t>
      </w:r>
      <w:r w:rsidRPr="001150B9">
        <w:rPr>
          <w:rFonts w:cstheme="minorHAnsi"/>
          <w:color w:val="58595B"/>
        </w:rPr>
        <w:t xml:space="preserve">greed camp. Today, investors who are focusing on the Biden-Trump election narrative are migrating to the fear camp while those enamored with the promise of artificial intelligence see a big pot of gold at the end of the rainbow. </w:t>
      </w:r>
    </w:p>
    <w:p w14:paraId="2DC9F0C1" w14:textId="77777777" w:rsidR="00EA53D2" w:rsidRPr="001150B9" w:rsidRDefault="00EA53D2" w:rsidP="001150B9">
      <w:pPr>
        <w:spacing w:after="60"/>
        <w:rPr>
          <w:rFonts w:cstheme="minorHAnsi"/>
          <w:color w:val="58595B"/>
        </w:rPr>
      </w:pPr>
    </w:p>
    <w:p w14:paraId="73F34610" w14:textId="6AFADE28" w:rsidR="001150B9" w:rsidRPr="001150B9" w:rsidRDefault="001150B9" w:rsidP="001150B9">
      <w:pPr>
        <w:spacing w:after="60"/>
        <w:rPr>
          <w:rFonts w:cstheme="minorHAnsi"/>
          <w:color w:val="58595B"/>
        </w:rPr>
      </w:pPr>
      <w:r w:rsidRPr="001150B9">
        <w:rPr>
          <w:rFonts w:cstheme="minorHAnsi"/>
          <w:color w:val="58595B"/>
        </w:rPr>
        <w:t xml:space="preserve">In this polarized political climate, most Americans agree we deserve better than the current presidential candidates. The current presidential campaign season magnifies our dysfunctional political scene. The lack of a strong middle precludes the ability to tackle major reforms ranging from climate change and immigration to our burgeoning deficits. Equally </w:t>
      </w:r>
      <w:r w:rsidR="005857D8">
        <w:rPr>
          <w:rFonts w:cstheme="minorHAnsi"/>
          <w:color w:val="58595B"/>
        </w:rPr>
        <w:t>alarming</w:t>
      </w:r>
      <w:r w:rsidRPr="001150B9">
        <w:rPr>
          <w:rFonts w:cstheme="minorHAnsi"/>
          <w:color w:val="58595B"/>
        </w:rPr>
        <w:t xml:space="preserve">, threats to the rule of law may undermine the competitive advantage afforded to American corporations relative to other foreign-based companies. Given these problems, it is not irrational to be cautious. </w:t>
      </w:r>
    </w:p>
    <w:p w14:paraId="56D3BA8A" w14:textId="77777777" w:rsidR="001150B9" w:rsidRPr="001150B9" w:rsidRDefault="001150B9" w:rsidP="001150B9">
      <w:pPr>
        <w:spacing w:after="60"/>
        <w:rPr>
          <w:rFonts w:cstheme="minorHAnsi"/>
          <w:color w:val="58595B"/>
        </w:rPr>
      </w:pPr>
    </w:p>
    <w:p w14:paraId="13A81B2C" w14:textId="0F4FCFA4" w:rsidR="001150B9" w:rsidRPr="006F1504" w:rsidRDefault="001150B9" w:rsidP="001150B9">
      <w:pPr>
        <w:spacing w:after="60"/>
        <w:rPr>
          <w:rFonts w:cstheme="minorHAnsi"/>
          <w:color w:val="58595B"/>
        </w:rPr>
      </w:pPr>
      <w:r w:rsidRPr="001150B9">
        <w:rPr>
          <w:rFonts w:cstheme="minorHAnsi"/>
          <w:color w:val="58595B"/>
        </w:rPr>
        <w:t>However, here are two facts for those investors rushing into an uber-conservative portfolio. First, it</w:t>
      </w:r>
      <w:r w:rsidR="000329EF">
        <w:rPr>
          <w:rFonts w:cstheme="minorHAnsi"/>
          <w:color w:val="58595B"/>
        </w:rPr>
        <w:t>'</w:t>
      </w:r>
      <w:r w:rsidRPr="001150B9">
        <w:rPr>
          <w:rFonts w:cstheme="minorHAnsi"/>
          <w:color w:val="58595B"/>
        </w:rPr>
        <w:t>s time in the market that matters, not timing the market. $1,000 invested in the S&amp;P500 from 1953 to present would have generated $1.6 million before taxes. Investing in the S&amp;P500 during Republican presidencies and cash during Democrat presidencies would have generated just $31,000, while the reverse would have generated $50,000. Second, U</w:t>
      </w:r>
      <w:r w:rsidR="00F90ABA">
        <w:rPr>
          <w:rFonts w:cstheme="minorHAnsi"/>
          <w:color w:val="58595B"/>
        </w:rPr>
        <w:t>.S.</w:t>
      </w:r>
      <w:r w:rsidRPr="001150B9">
        <w:rPr>
          <w:rFonts w:cstheme="minorHAnsi"/>
          <w:color w:val="58595B"/>
        </w:rPr>
        <w:t xml:space="preserve"> stocks have tended to lose money less frequently during Presidential Election years than in non-Presidential years. In only </w:t>
      </w:r>
      <w:r w:rsidR="00CA6E65">
        <w:rPr>
          <w:rFonts w:cstheme="minorHAnsi"/>
          <w:color w:val="58595B"/>
        </w:rPr>
        <w:t>four</w:t>
      </w:r>
      <w:r w:rsidRPr="001150B9">
        <w:rPr>
          <w:rFonts w:cstheme="minorHAnsi"/>
          <w:color w:val="58595B"/>
        </w:rPr>
        <w:t xml:space="preserve"> years out of the 24 (17%) since 1926</w:t>
      </w:r>
      <w:r w:rsidR="00CA6E65">
        <w:rPr>
          <w:rFonts w:cstheme="minorHAnsi"/>
          <w:color w:val="58595B"/>
        </w:rPr>
        <w:t>,</w:t>
      </w:r>
      <w:r w:rsidRPr="001150B9">
        <w:rPr>
          <w:rFonts w:cstheme="minorHAnsi"/>
          <w:color w:val="58595B"/>
        </w:rPr>
        <w:t xml:space="preserve"> did the S&amp;P500 post negative returns during a Presidential election year</w:t>
      </w:r>
      <w:r w:rsidRPr="001150B9">
        <w:rPr>
          <w:rFonts w:cstheme="minorHAnsi"/>
          <w:color w:val="58595B"/>
          <w:vertAlign w:val="superscript"/>
        </w:rPr>
        <w:footnoteReference w:id="1"/>
      </w:r>
      <w:r w:rsidRPr="001150B9">
        <w:rPr>
          <w:rFonts w:cstheme="minorHAnsi"/>
          <w:color w:val="58595B"/>
          <w:vertAlign w:val="superscript"/>
        </w:rPr>
        <w:t>.</w:t>
      </w:r>
      <w:r w:rsidRPr="001150B9">
        <w:rPr>
          <w:rFonts w:cstheme="minorHAnsi"/>
          <w:color w:val="58595B"/>
        </w:rPr>
        <w:t xml:space="preserve"> These losses were driven by economic historical events rather than political events. Bear in mind, as investors, we are investing in companies and not political parties. The presidency is just one factor that impacts the markets. Other factors range from interest rates, technology, geopolitics, natural disasters and oil prices. </w:t>
      </w:r>
    </w:p>
    <w:p w14:paraId="43E6BF81" w14:textId="77777777" w:rsidR="00EA53D2" w:rsidRPr="001150B9" w:rsidRDefault="00EA53D2" w:rsidP="001150B9">
      <w:pPr>
        <w:spacing w:after="60"/>
        <w:rPr>
          <w:rFonts w:cstheme="minorHAnsi"/>
          <w:color w:val="58595B"/>
        </w:rPr>
      </w:pPr>
    </w:p>
    <w:p w14:paraId="33273510" w14:textId="46E4322F" w:rsidR="001150B9" w:rsidRPr="006F1504" w:rsidRDefault="001150B9" w:rsidP="001150B9">
      <w:pPr>
        <w:spacing w:after="60"/>
        <w:rPr>
          <w:rFonts w:cstheme="minorHAnsi"/>
          <w:color w:val="58595B"/>
        </w:rPr>
      </w:pPr>
      <w:r w:rsidRPr="001150B9">
        <w:rPr>
          <w:rFonts w:cstheme="minorHAnsi"/>
          <w:color w:val="58595B"/>
        </w:rPr>
        <w:t>The single most common feeling many have as an investor is that we missed out on something that's on a rocket ride to the moon. As a long-term investor who mostly invests using diversified portfolios, I think that makes us particularly susceptible to FOMO―the fear of missing out. Right now, the stock everyone is talking about is Nvidia, which briefly became the world's largest company by market capitalization earlier this month before pulling back. </w:t>
      </w:r>
    </w:p>
    <w:p w14:paraId="6B315D29" w14:textId="77777777" w:rsidR="00EA53D2" w:rsidRPr="001150B9" w:rsidRDefault="00EA53D2" w:rsidP="001150B9">
      <w:pPr>
        <w:spacing w:after="60"/>
        <w:rPr>
          <w:rFonts w:cstheme="minorHAnsi"/>
          <w:color w:val="58595B"/>
        </w:rPr>
      </w:pPr>
    </w:p>
    <w:p w14:paraId="685FBB60" w14:textId="77777777" w:rsidR="006F1504" w:rsidRDefault="001150B9" w:rsidP="001150B9">
      <w:pPr>
        <w:spacing w:after="60"/>
        <w:rPr>
          <w:rFonts w:cstheme="minorHAnsi"/>
          <w:color w:val="58595B"/>
        </w:rPr>
      </w:pPr>
      <w:r w:rsidRPr="001150B9">
        <w:rPr>
          <w:rFonts w:cstheme="minorHAnsi"/>
          <w:color w:val="58595B"/>
        </w:rPr>
        <w:t>Rob Arnott of Research Affiliates notes that artificial intelligence is a real revolution but cautions that market pricing</w:t>
      </w:r>
    </w:p>
    <w:p w14:paraId="022B64A2" w14:textId="2D5C08FD" w:rsidR="001150B9" w:rsidRPr="006F1504" w:rsidRDefault="001150B9" w:rsidP="001150B9">
      <w:pPr>
        <w:spacing w:after="60"/>
        <w:rPr>
          <w:rFonts w:cstheme="minorHAnsi"/>
          <w:color w:val="58595B"/>
        </w:rPr>
      </w:pPr>
      <w:r w:rsidRPr="001150B9">
        <w:rPr>
          <w:rFonts w:cstheme="minorHAnsi"/>
          <w:color w:val="58595B"/>
        </w:rPr>
        <w:lastRenderedPageBreak/>
        <w:t xml:space="preserve">may have gotten ahead of its plausible reality. NVIDIA currently has a profit margin of 50%. Do we think AMD, Intel, and Taiwan Semiconductor will sit </w:t>
      </w:r>
      <w:proofErr w:type="gramStart"/>
      <w:r w:rsidRPr="001150B9">
        <w:rPr>
          <w:rFonts w:cstheme="minorHAnsi"/>
          <w:color w:val="58595B"/>
        </w:rPr>
        <w:t>on</w:t>
      </w:r>
      <w:proofErr w:type="gramEnd"/>
      <w:r w:rsidRPr="001150B9">
        <w:rPr>
          <w:rFonts w:cstheme="minorHAnsi"/>
          <w:color w:val="58595B"/>
        </w:rPr>
        <w:t xml:space="preserve"> their hands</w:t>
      </w:r>
      <w:r w:rsidR="00EE2F4E">
        <w:rPr>
          <w:rFonts w:cstheme="minorHAnsi"/>
          <w:color w:val="58595B"/>
        </w:rPr>
        <w:t>,</w:t>
      </w:r>
      <w:r w:rsidRPr="001150B9">
        <w:rPr>
          <w:rFonts w:cstheme="minorHAnsi"/>
          <w:color w:val="58595B"/>
        </w:rPr>
        <w:t xml:space="preserve"> or will they compete and squeeze profit margins away from NVIDIA? Likewise, Qualcomm was the poster child for the dot-com era. It leaped ahead of competitors back then, building an incredible business providing the plumbing for the Internet. In 1999, it was up over 27-</w:t>
      </w:r>
      <w:proofErr w:type="gramStart"/>
      <w:r w:rsidRPr="001150B9">
        <w:rPr>
          <w:rFonts w:cstheme="minorHAnsi"/>
          <w:color w:val="58595B"/>
        </w:rPr>
        <w:t>fold</w:t>
      </w:r>
      <w:proofErr w:type="gramEnd"/>
      <w:r w:rsidRPr="001150B9">
        <w:rPr>
          <w:rFonts w:cstheme="minorHAnsi"/>
          <w:color w:val="58595B"/>
        </w:rPr>
        <w:t xml:space="preserve"> making Nvidia look like a value stock by comparison! Since then, it has remained a dominant player in the </w:t>
      </w:r>
      <w:r w:rsidR="0015305C">
        <w:rPr>
          <w:rFonts w:cstheme="minorHAnsi"/>
          <w:color w:val="58595B"/>
        </w:rPr>
        <w:t>I</w:t>
      </w:r>
      <w:r w:rsidRPr="001150B9">
        <w:rPr>
          <w:rFonts w:cstheme="minorHAnsi"/>
          <w:color w:val="58595B"/>
        </w:rPr>
        <w:t>nternet's plumbing. How</w:t>
      </w:r>
      <w:r w:rsidR="000329EF">
        <w:rPr>
          <w:rFonts w:cstheme="minorHAnsi"/>
          <w:color w:val="58595B"/>
        </w:rPr>
        <w:t>'</w:t>
      </w:r>
      <w:r w:rsidRPr="001150B9">
        <w:rPr>
          <w:rFonts w:cstheme="minorHAnsi"/>
          <w:color w:val="58595B"/>
        </w:rPr>
        <w:t>s it done as a stock? You would have been twice as wealthy today investing in the S&amp;P 500 as investing in Qualcomm back at the start of 2000. A</w:t>
      </w:r>
      <w:r w:rsidR="008F5476">
        <w:rPr>
          <w:rFonts w:cstheme="minorHAnsi"/>
          <w:color w:val="58595B"/>
        </w:rPr>
        <w:t>I</w:t>
      </w:r>
      <w:r w:rsidRPr="001150B9">
        <w:rPr>
          <w:rFonts w:cstheme="minorHAnsi"/>
          <w:color w:val="58595B"/>
        </w:rPr>
        <w:t xml:space="preserve"> may be a real revolution</w:t>
      </w:r>
      <w:r w:rsidR="008F5476">
        <w:rPr>
          <w:rFonts w:cstheme="minorHAnsi"/>
          <w:color w:val="58595B"/>
        </w:rPr>
        <w:t>,</w:t>
      </w:r>
      <w:r w:rsidRPr="001150B9">
        <w:rPr>
          <w:rFonts w:cstheme="minorHAnsi"/>
          <w:color w:val="58595B"/>
        </w:rPr>
        <w:t xml:space="preserve"> and NVIDIA has built an extraordinary business</w:t>
      </w:r>
      <w:r w:rsidR="00F46951">
        <w:rPr>
          <w:rFonts w:cstheme="minorHAnsi"/>
          <w:color w:val="58595B"/>
        </w:rPr>
        <w:t>;</w:t>
      </w:r>
      <w:r w:rsidRPr="001150B9">
        <w:rPr>
          <w:rFonts w:cstheme="minorHAnsi"/>
          <w:color w:val="58595B"/>
        </w:rPr>
        <w:t xml:space="preserve"> however, does it merit a significant overweight in your portfolio given valuations?</w:t>
      </w:r>
    </w:p>
    <w:p w14:paraId="1FF2D34D" w14:textId="77777777" w:rsidR="006152A2" w:rsidRPr="001150B9" w:rsidRDefault="006152A2" w:rsidP="001150B9">
      <w:pPr>
        <w:spacing w:after="60"/>
        <w:rPr>
          <w:rFonts w:cstheme="minorHAnsi"/>
          <w:color w:val="58595B"/>
        </w:rPr>
      </w:pPr>
    </w:p>
    <w:p w14:paraId="55C048B5" w14:textId="77777777" w:rsidR="001150B9" w:rsidRPr="001150B9" w:rsidRDefault="001150B9" w:rsidP="001150B9">
      <w:pPr>
        <w:spacing w:after="60"/>
        <w:rPr>
          <w:rFonts w:cstheme="minorHAnsi"/>
          <w:color w:val="58595B"/>
        </w:rPr>
      </w:pPr>
      <w:r w:rsidRPr="001150B9">
        <w:rPr>
          <w:rFonts w:cstheme="minorHAnsi"/>
          <w:color w:val="58595B"/>
        </w:rPr>
        <w:t xml:space="preserve">Please reach out to me to discuss any concerns regarding your portfolio and long-term plan </w:t>
      </w:r>
      <w:proofErr w:type="gramStart"/>
      <w:r w:rsidRPr="001150B9">
        <w:rPr>
          <w:rFonts w:cstheme="minorHAnsi"/>
          <w:color w:val="58595B"/>
        </w:rPr>
        <w:t>in light of</w:t>
      </w:r>
      <w:proofErr w:type="gramEnd"/>
      <w:r w:rsidRPr="001150B9">
        <w:rPr>
          <w:rFonts w:cstheme="minorHAnsi"/>
          <w:color w:val="58595B"/>
        </w:rPr>
        <w:t xml:space="preserve"> this challenging market environment. </w:t>
      </w:r>
    </w:p>
    <w:p w14:paraId="151FA971" w14:textId="77777777" w:rsidR="00BD6897" w:rsidRDefault="00BD6897" w:rsidP="00D226A9">
      <w:pPr>
        <w:spacing w:after="60"/>
        <w:rPr>
          <w:rFonts w:cstheme="minorHAnsi"/>
          <w:color w:val="58595B"/>
          <w:sz w:val="16"/>
          <w:szCs w:val="16"/>
        </w:rPr>
      </w:pPr>
    </w:p>
    <w:p w14:paraId="6B5A4C21" w14:textId="77777777" w:rsidR="00BD6897" w:rsidRDefault="00BD6897" w:rsidP="00D226A9">
      <w:pPr>
        <w:spacing w:after="60"/>
        <w:rPr>
          <w:rFonts w:cstheme="minorHAnsi"/>
          <w:color w:val="58595B"/>
          <w:sz w:val="16"/>
          <w:szCs w:val="16"/>
        </w:rPr>
      </w:pPr>
    </w:p>
    <w:p w14:paraId="5080F58D" w14:textId="77777777" w:rsidR="00BD6897" w:rsidRDefault="00BD6897" w:rsidP="00D226A9">
      <w:pPr>
        <w:spacing w:after="60"/>
        <w:rPr>
          <w:rFonts w:cstheme="minorHAnsi"/>
          <w:color w:val="58595B"/>
          <w:sz w:val="16"/>
          <w:szCs w:val="16"/>
        </w:rPr>
      </w:pPr>
    </w:p>
    <w:p w14:paraId="42FAB85D" w14:textId="77777777" w:rsidR="00BD6897" w:rsidRDefault="00BD6897" w:rsidP="00D226A9">
      <w:pPr>
        <w:spacing w:after="60"/>
        <w:rPr>
          <w:rFonts w:cstheme="minorHAnsi"/>
          <w:color w:val="58595B"/>
          <w:sz w:val="16"/>
          <w:szCs w:val="16"/>
        </w:rPr>
      </w:pPr>
    </w:p>
    <w:p w14:paraId="5CF99149" w14:textId="77777777" w:rsidR="00741BF1" w:rsidRDefault="00741BF1" w:rsidP="00D226A9">
      <w:pPr>
        <w:spacing w:after="60"/>
        <w:rPr>
          <w:rFonts w:cstheme="minorHAnsi"/>
          <w:color w:val="58595B"/>
          <w:sz w:val="16"/>
          <w:szCs w:val="16"/>
        </w:rPr>
      </w:pPr>
    </w:p>
    <w:p w14:paraId="6D1EEF09" w14:textId="77777777" w:rsidR="00741BF1" w:rsidRDefault="00741BF1" w:rsidP="00D226A9">
      <w:pPr>
        <w:spacing w:after="60"/>
        <w:rPr>
          <w:rFonts w:cstheme="minorHAnsi"/>
          <w:color w:val="58595B"/>
          <w:sz w:val="16"/>
          <w:szCs w:val="16"/>
        </w:rPr>
      </w:pPr>
    </w:p>
    <w:p w14:paraId="62AD0DB5" w14:textId="77777777" w:rsidR="00741BF1" w:rsidRDefault="00741BF1" w:rsidP="00D226A9">
      <w:pPr>
        <w:spacing w:after="60"/>
        <w:rPr>
          <w:rFonts w:cstheme="minorHAnsi"/>
          <w:color w:val="58595B"/>
          <w:sz w:val="16"/>
          <w:szCs w:val="16"/>
        </w:rPr>
      </w:pPr>
    </w:p>
    <w:p w14:paraId="579E5CD0" w14:textId="77777777" w:rsidR="00741BF1" w:rsidRDefault="00741BF1" w:rsidP="00D226A9">
      <w:pPr>
        <w:spacing w:after="60"/>
        <w:rPr>
          <w:rFonts w:cstheme="minorHAnsi"/>
          <w:color w:val="58595B"/>
          <w:sz w:val="16"/>
          <w:szCs w:val="16"/>
        </w:rPr>
      </w:pPr>
    </w:p>
    <w:p w14:paraId="5BC13219" w14:textId="77777777" w:rsidR="00741BF1" w:rsidRDefault="00741BF1" w:rsidP="00D226A9">
      <w:pPr>
        <w:spacing w:after="60"/>
        <w:rPr>
          <w:rFonts w:cstheme="minorHAnsi"/>
          <w:color w:val="58595B"/>
          <w:sz w:val="16"/>
          <w:szCs w:val="16"/>
        </w:rPr>
      </w:pPr>
    </w:p>
    <w:p w14:paraId="63391432" w14:textId="77777777" w:rsidR="00741BF1" w:rsidRDefault="00741BF1" w:rsidP="00D226A9">
      <w:pPr>
        <w:spacing w:after="60"/>
        <w:rPr>
          <w:rFonts w:cstheme="minorHAnsi"/>
          <w:color w:val="58595B"/>
          <w:sz w:val="16"/>
          <w:szCs w:val="16"/>
        </w:rPr>
      </w:pPr>
    </w:p>
    <w:p w14:paraId="7037CB76" w14:textId="77777777" w:rsidR="00741BF1" w:rsidRDefault="00741BF1" w:rsidP="00D226A9">
      <w:pPr>
        <w:spacing w:after="60"/>
        <w:rPr>
          <w:rFonts w:cstheme="minorHAnsi"/>
          <w:color w:val="58595B"/>
          <w:sz w:val="16"/>
          <w:szCs w:val="16"/>
        </w:rPr>
      </w:pPr>
    </w:p>
    <w:p w14:paraId="426F9638" w14:textId="77777777" w:rsidR="00741BF1" w:rsidRDefault="00741BF1" w:rsidP="00D226A9">
      <w:pPr>
        <w:spacing w:after="60"/>
        <w:rPr>
          <w:rFonts w:cstheme="minorHAnsi"/>
          <w:color w:val="58595B"/>
          <w:sz w:val="16"/>
          <w:szCs w:val="16"/>
        </w:rPr>
      </w:pPr>
    </w:p>
    <w:p w14:paraId="107F300C" w14:textId="77777777" w:rsidR="00741BF1" w:rsidRDefault="00741BF1" w:rsidP="00D226A9">
      <w:pPr>
        <w:spacing w:after="60"/>
        <w:rPr>
          <w:rFonts w:cstheme="minorHAnsi"/>
          <w:color w:val="58595B"/>
          <w:sz w:val="16"/>
          <w:szCs w:val="16"/>
        </w:rPr>
      </w:pPr>
    </w:p>
    <w:p w14:paraId="434C773F" w14:textId="77777777" w:rsidR="00741BF1" w:rsidRDefault="00741BF1" w:rsidP="00D226A9">
      <w:pPr>
        <w:spacing w:after="60"/>
        <w:rPr>
          <w:rFonts w:cstheme="minorHAnsi"/>
          <w:color w:val="58595B"/>
          <w:sz w:val="16"/>
          <w:szCs w:val="16"/>
        </w:rPr>
      </w:pPr>
    </w:p>
    <w:p w14:paraId="55B77B84" w14:textId="77777777" w:rsidR="00741BF1" w:rsidRDefault="00741BF1" w:rsidP="00D226A9">
      <w:pPr>
        <w:spacing w:after="60"/>
        <w:rPr>
          <w:rFonts w:cstheme="minorHAnsi"/>
          <w:color w:val="58595B"/>
          <w:sz w:val="16"/>
          <w:szCs w:val="16"/>
        </w:rPr>
      </w:pPr>
    </w:p>
    <w:p w14:paraId="581A72C7" w14:textId="77777777" w:rsidR="00741BF1" w:rsidRDefault="00741BF1" w:rsidP="00D226A9">
      <w:pPr>
        <w:spacing w:after="60"/>
        <w:rPr>
          <w:rFonts w:cstheme="minorHAnsi"/>
          <w:color w:val="58595B"/>
          <w:sz w:val="16"/>
          <w:szCs w:val="16"/>
        </w:rPr>
      </w:pPr>
    </w:p>
    <w:p w14:paraId="0F38F157" w14:textId="77777777" w:rsidR="00741BF1" w:rsidRDefault="00741BF1" w:rsidP="00D226A9">
      <w:pPr>
        <w:spacing w:after="60"/>
        <w:rPr>
          <w:rFonts w:cstheme="minorHAnsi"/>
          <w:color w:val="58595B"/>
          <w:sz w:val="16"/>
          <w:szCs w:val="16"/>
        </w:rPr>
      </w:pPr>
    </w:p>
    <w:p w14:paraId="1081ABAB" w14:textId="77777777" w:rsidR="00741BF1" w:rsidRDefault="00741BF1" w:rsidP="00D226A9">
      <w:pPr>
        <w:spacing w:after="60"/>
        <w:rPr>
          <w:rFonts w:cstheme="minorHAnsi"/>
          <w:color w:val="58595B"/>
          <w:sz w:val="16"/>
          <w:szCs w:val="16"/>
        </w:rPr>
      </w:pPr>
    </w:p>
    <w:p w14:paraId="6FD49937" w14:textId="77777777" w:rsidR="00741BF1" w:rsidRDefault="00741BF1" w:rsidP="00D226A9">
      <w:pPr>
        <w:spacing w:after="60"/>
        <w:rPr>
          <w:rFonts w:cstheme="minorHAnsi"/>
          <w:color w:val="58595B"/>
          <w:sz w:val="16"/>
          <w:szCs w:val="16"/>
        </w:rPr>
      </w:pPr>
    </w:p>
    <w:p w14:paraId="00F7D9D0" w14:textId="77777777" w:rsidR="00741BF1" w:rsidRDefault="00741BF1" w:rsidP="00D226A9">
      <w:pPr>
        <w:spacing w:after="60"/>
        <w:rPr>
          <w:rFonts w:cstheme="minorHAnsi"/>
          <w:color w:val="58595B"/>
          <w:sz w:val="16"/>
          <w:szCs w:val="16"/>
        </w:rPr>
      </w:pPr>
    </w:p>
    <w:p w14:paraId="1EA23AF1" w14:textId="77777777" w:rsidR="00741BF1" w:rsidRDefault="00741BF1" w:rsidP="00D226A9">
      <w:pPr>
        <w:spacing w:after="60"/>
        <w:rPr>
          <w:rFonts w:cstheme="minorHAnsi"/>
          <w:color w:val="58595B"/>
          <w:sz w:val="16"/>
          <w:szCs w:val="16"/>
        </w:rPr>
      </w:pPr>
    </w:p>
    <w:p w14:paraId="56263101" w14:textId="77777777" w:rsidR="00741BF1" w:rsidRDefault="00741BF1" w:rsidP="00D226A9">
      <w:pPr>
        <w:spacing w:after="60"/>
        <w:rPr>
          <w:rFonts w:cstheme="minorHAnsi"/>
          <w:color w:val="58595B"/>
          <w:sz w:val="16"/>
          <w:szCs w:val="16"/>
        </w:rPr>
      </w:pPr>
    </w:p>
    <w:p w14:paraId="398DBF6F" w14:textId="77777777" w:rsidR="00741BF1" w:rsidRDefault="00741BF1" w:rsidP="00D226A9">
      <w:pPr>
        <w:spacing w:after="60"/>
        <w:rPr>
          <w:rFonts w:cstheme="minorHAnsi"/>
          <w:color w:val="58595B"/>
          <w:sz w:val="16"/>
          <w:szCs w:val="16"/>
        </w:rPr>
      </w:pPr>
    </w:p>
    <w:p w14:paraId="767565C2" w14:textId="77777777" w:rsidR="00741BF1" w:rsidRDefault="00741BF1" w:rsidP="00D226A9">
      <w:pPr>
        <w:spacing w:after="60"/>
        <w:rPr>
          <w:rFonts w:cstheme="minorHAnsi"/>
          <w:color w:val="58595B"/>
          <w:sz w:val="16"/>
          <w:szCs w:val="16"/>
        </w:rPr>
      </w:pPr>
    </w:p>
    <w:p w14:paraId="3C01EC45" w14:textId="0D21443B"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E41FDB">
        <w:rPr>
          <w:rFonts w:cstheme="minorHAnsi"/>
          <w:color w:val="58595B"/>
          <w:sz w:val="16"/>
          <w:szCs w:val="16"/>
        </w:rPr>
        <w:t>4</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3118D16B" w14:textId="057BEFEB" w:rsidR="00B07EDC" w:rsidRPr="00B07EDC" w:rsidRDefault="00B07EDC" w:rsidP="00B07EDC">
      <w:pPr>
        <w:tabs>
          <w:tab w:val="left" w:pos="3000"/>
        </w:tabs>
        <w:jc w:val="center"/>
        <w:rPr>
          <w:rStyle w:val="normaltextrun"/>
          <w:rFonts w:eastAsia="Proxima Nova Rg" w:cs="Proxima Nova Rg"/>
          <w:caps/>
          <w:color w:val="58595B"/>
          <w:sz w:val="24"/>
          <w:szCs w:val="16"/>
        </w:rPr>
      </w:pPr>
      <w:r>
        <w:rPr>
          <w:rFonts w:eastAsia="Proxima Nova Rg" w:cs="Proxima Nova Rg"/>
          <w:caps/>
          <w:noProof/>
          <w:color w:val="58595B"/>
          <w:sz w:val="24"/>
          <w:szCs w:val="16"/>
        </w:rPr>
        <mc:AlternateContent>
          <mc:Choice Requires="wps">
            <w:drawing>
              <wp:anchor distT="0" distB="0" distL="114300" distR="114300" simplePos="0" relativeHeight="251666432"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96808" id="Rectangle 1" o:spid="_x0000_s1026" style="position:absolute;margin-left:-7.5pt;margin-top:20.9pt;width:160.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2D4A72">
        <w:rPr>
          <w:rFonts w:eastAsia="Proxima Nova Rg" w:cs="Proxima Nova Rg"/>
          <w:caps/>
          <w:color w:val="58595B"/>
          <w:sz w:val="24"/>
          <w:szCs w:val="16"/>
        </w:rPr>
        <w:t>Wealthcaregdx.com</w:t>
      </w:r>
    </w:p>
    <w:sectPr w:rsidR="00B07EDC" w:rsidRPr="00B07EDC" w:rsidSect="00586D21">
      <w:headerReference w:type="default" r:id="rId19"/>
      <w:footerReference w:type="default" r:id="rId20"/>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E7BD1" w14:textId="77777777" w:rsidR="00586D21" w:rsidRDefault="00586D21">
      <w:r>
        <w:separator/>
      </w:r>
    </w:p>
  </w:endnote>
  <w:endnote w:type="continuationSeparator" w:id="0">
    <w:p w14:paraId="5F119065" w14:textId="77777777" w:rsidR="00586D21" w:rsidRDefault="0058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E8BC2" w14:textId="77777777" w:rsidR="00586D21" w:rsidRDefault="00586D21">
      <w:r>
        <w:separator/>
      </w:r>
    </w:p>
  </w:footnote>
  <w:footnote w:type="continuationSeparator" w:id="0">
    <w:p w14:paraId="09C63FED" w14:textId="77777777" w:rsidR="00586D21" w:rsidRDefault="00586D21">
      <w:r>
        <w:continuationSeparator/>
      </w:r>
    </w:p>
  </w:footnote>
  <w:footnote w:id="1">
    <w:p w14:paraId="4CB227E4" w14:textId="2F3B25D4" w:rsidR="001150B9" w:rsidRDefault="001150B9" w:rsidP="001150B9">
      <w:pPr>
        <w:pStyle w:val="FootnoteText"/>
        <w:ind w:firstLine="720"/>
        <w:rPr>
          <w:color w:val="7F7F7F" w:themeColor="text1" w:themeTint="80"/>
          <w:sz w:val="14"/>
          <w:szCs w:val="14"/>
        </w:rPr>
      </w:pPr>
      <w:r w:rsidRPr="00CA51A7">
        <w:rPr>
          <w:rStyle w:val="FootnoteReference"/>
          <w:color w:val="7F7F7F" w:themeColor="text1" w:themeTint="80"/>
          <w:sz w:val="14"/>
          <w:szCs w:val="14"/>
        </w:rPr>
        <w:footnoteRef/>
      </w:r>
      <w:r w:rsidRPr="00CA51A7">
        <w:rPr>
          <w:color w:val="7F7F7F" w:themeColor="text1" w:themeTint="80"/>
          <w:sz w:val="14"/>
          <w:szCs w:val="14"/>
        </w:rPr>
        <w:t xml:space="preserve"> </w:t>
      </w:r>
      <w:hyperlink r:id="rId1" w:history="1">
        <w:r w:rsidR="00F85577" w:rsidRPr="000C44A7">
          <w:rPr>
            <w:rStyle w:val="Hyperlink"/>
            <w:sz w:val="14"/>
            <w:szCs w:val="14"/>
          </w:rPr>
          <w:t>https://www.ishares.com/us/insights/investing-in-an-election-year</w:t>
        </w:r>
      </w:hyperlink>
    </w:p>
    <w:p w14:paraId="63E4F3CE" w14:textId="77777777" w:rsidR="00F85577" w:rsidRDefault="00F85577" w:rsidP="001150B9">
      <w:pPr>
        <w:pStyle w:val="FootnoteText"/>
        <w:ind w:firstLine="720"/>
        <w:rPr>
          <w:color w:val="7F7F7F" w:themeColor="text1" w:themeTint="80"/>
          <w:sz w:val="14"/>
          <w:szCs w:val="14"/>
        </w:rPr>
      </w:pPr>
    </w:p>
    <w:p w14:paraId="26194143" w14:textId="77777777" w:rsidR="00F85577" w:rsidRPr="004E259A" w:rsidRDefault="00F85577" w:rsidP="00F85577">
      <w:pPr>
        <w:spacing w:after="60"/>
        <w:ind w:left="720"/>
        <w:rPr>
          <w:rFonts w:cstheme="minorHAnsi"/>
          <w:color w:val="58595B"/>
          <w:sz w:val="16"/>
          <w:szCs w:val="16"/>
        </w:rPr>
      </w:pPr>
      <w:r w:rsidRPr="004E259A">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31E96D06" w14:textId="68ADF8FE" w:rsidR="00F85577" w:rsidRPr="004E259A" w:rsidRDefault="00F85577" w:rsidP="00F85577">
      <w:pPr>
        <w:spacing w:after="60"/>
        <w:ind w:left="720"/>
        <w:rPr>
          <w:color w:val="58595B"/>
        </w:rPr>
      </w:pPr>
      <w:r w:rsidRPr="004E259A">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4E259A">
        <w:rPr>
          <w:rFonts w:cstheme="minorHAnsi"/>
          <w:color w:val="58595B"/>
          <w:sz w:val="16"/>
          <w:szCs w:val="16"/>
        </w:rPr>
        <w:t>reliable, but</w:t>
      </w:r>
      <w:proofErr w:type="gramEnd"/>
      <w:r w:rsidRPr="004E259A">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0B5B3FE1" w14:textId="77777777" w:rsidR="00F85577" w:rsidRDefault="00F85577" w:rsidP="001150B9">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A023E"/>
    <w:multiLevelType w:val="hybridMultilevel"/>
    <w:tmpl w:val="8DE86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3A4B6C"/>
    <w:multiLevelType w:val="hybridMultilevel"/>
    <w:tmpl w:val="8DE8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7"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0"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2"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75CF68CC"/>
    <w:multiLevelType w:val="hybridMultilevel"/>
    <w:tmpl w:val="7AF22670"/>
    <w:lvl w:ilvl="0" w:tplc="E32CBD1A">
      <w:start w:val="1"/>
      <w:numFmt w:val="decimal"/>
      <w:lvlText w:val="%1."/>
      <w:lvlJc w:val="left"/>
      <w:pPr>
        <w:ind w:left="720" w:hanging="360"/>
      </w:pPr>
    </w:lvl>
    <w:lvl w:ilvl="1" w:tplc="1F904324">
      <w:start w:val="1"/>
      <w:numFmt w:val="lowerLetter"/>
      <w:lvlText w:val="%2."/>
      <w:lvlJc w:val="left"/>
      <w:pPr>
        <w:ind w:left="1440" w:hanging="360"/>
      </w:pPr>
    </w:lvl>
    <w:lvl w:ilvl="2" w:tplc="1D0CB9C6">
      <w:start w:val="1"/>
      <w:numFmt w:val="lowerRoman"/>
      <w:lvlText w:val="%3."/>
      <w:lvlJc w:val="right"/>
      <w:pPr>
        <w:ind w:left="2160" w:hanging="180"/>
      </w:pPr>
    </w:lvl>
    <w:lvl w:ilvl="3" w:tplc="533A55C8">
      <w:start w:val="1"/>
      <w:numFmt w:val="decimal"/>
      <w:lvlText w:val="%4."/>
      <w:lvlJc w:val="left"/>
      <w:pPr>
        <w:ind w:left="2880" w:hanging="360"/>
      </w:pPr>
    </w:lvl>
    <w:lvl w:ilvl="4" w:tplc="4612A6A6">
      <w:start w:val="1"/>
      <w:numFmt w:val="lowerLetter"/>
      <w:lvlText w:val="%5."/>
      <w:lvlJc w:val="left"/>
      <w:pPr>
        <w:ind w:left="3600" w:hanging="360"/>
      </w:pPr>
    </w:lvl>
    <w:lvl w:ilvl="5" w:tplc="ACCA3FB6">
      <w:start w:val="1"/>
      <w:numFmt w:val="lowerRoman"/>
      <w:lvlText w:val="%6."/>
      <w:lvlJc w:val="right"/>
      <w:pPr>
        <w:ind w:left="4320" w:hanging="180"/>
      </w:pPr>
    </w:lvl>
    <w:lvl w:ilvl="6" w:tplc="906C1964">
      <w:start w:val="1"/>
      <w:numFmt w:val="decimal"/>
      <w:lvlText w:val="%7."/>
      <w:lvlJc w:val="left"/>
      <w:pPr>
        <w:ind w:left="5040" w:hanging="360"/>
      </w:pPr>
    </w:lvl>
    <w:lvl w:ilvl="7" w:tplc="844E1788">
      <w:start w:val="1"/>
      <w:numFmt w:val="lowerLetter"/>
      <w:lvlText w:val="%8."/>
      <w:lvlJc w:val="left"/>
      <w:pPr>
        <w:ind w:left="5760" w:hanging="360"/>
      </w:pPr>
    </w:lvl>
    <w:lvl w:ilvl="8" w:tplc="2E9221C8">
      <w:start w:val="1"/>
      <w:numFmt w:val="lowerRoman"/>
      <w:lvlText w:val="%9."/>
      <w:lvlJc w:val="right"/>
      <w:pPr>
        <w:ind w:left="6480" w:hanging="180"/>
      </w:pPr>
    </w:lvl>
  </w:abstractNum>
  <w:abstractNum w:abstractNumId="50"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6"/>
  </w:num>
  <w:num w:numId="2" w16cid:durableId="298078590">
    <w:abstractNumId w:val="26"/>
  </w:num>
  <w:num w:numId="3" w16cid:durableId="2122533199">
    <w:abstractNumId w:val="41"/>
  </w:num>
  <w:num w:numId="4" w16cid:durableId="846560734">
    <w:abstractNumId w:val="2"/>
  </w:num>
  <w:num w:numId="5" w16cid:durableId="3753219">
    <w:abstractNumId w:val="37"/>
  </w:num>
  <w:num w:numId="6" w16cid:durableId="1434134267">
    <w:abstractNumId w:val="39"/>
  </w:num>
  <w:num w:numId="7" w16cid:durableId="574702125">
    <w:abstractNumId w:val="48"/>
  </w:num>
  <w:num w:numId="8" w16cid:durableId="307637968">
    <w:abstractNumId w:val="31"/>
  </w:num>
  <w:num w:numId="9" w16cid:durableId="1698847105">
    <w:abstractNumId w:val="3"/>
  </w:num>
  <w:num w:numId="10" w16cid:durableId="1115097534">
    <w:abstractNumId w:val="14"/>
  </w:num>
  <w:num w:numId="11" w16cid:durableId="1693065977">
    <w:abstractNumId w:val="7"/>
  </w:num>
  <w:num w:numId="12" w16cid:durableId="899638018">
    <w:abstractNumId w:val="12"/>
  </w:num>
  <w:num w:numId="13" w16cid:durableId="825516068">
    <w:abstractNumId w:val="30"/>
  </w:num>
  <w:num w:numId="14" w16cid:durableId="1423262903">
    <w:abstractNumId w:val="50"/>
  </w:num>
  <w:num w:numId="15" w16cid:durableId="1502354591">
    <w:abstractNumId w:val="47"/>
  </w:num>
  <w:num w:numId="16" w16cid:durableId="593704893">
    <w:abstractNumId w:val="21"/>
  </w:num>
  <w:num w:numId="17" w16cid:durableId="265310388">
    <w:abstractNumId w:val="43"/>
  </w:num>
  <w:num w:numId="18" w16cid:durableId="1090199958">
    <w:abstractNumId w:val="24"/>
  </w:num>
  <w:num w:numId="19" w16cid:durableId="1861699692">
    <w:abstractNumId w:val="18"/>
  </w:num>
  <w:num w:numId="20" w16cid:durableId="1758863287">
    <w:abstractNumId w:val="6"/>
  </w:num>
  <w:num w:numId="21" w16cid:durableId="1207447191">
    <w:abstractNumId w:val="5"/>
  </w:num>
  <w:num w:numId="22" w16cid:durableId="1321077709">
    <w:abstractNumId w:val="34"/>
  </w:num>
  <w:num w:numId="23" w16cid:durableId="1519081393">
    <w:abstractNumId w:val="15"/>
  </w:num>
  <w:num w:numId="24" w16cid:durableId="1868173849">
    <w:abstractNumId w:val="16"/>
  </w:num>
  <w:num w:numId="25" w16cid:durableId="251621163">
    <w:abstractNumId w:val="8"/>
  </w:num>
  <w:num w:numId="26" w16cid:durableId="1213687620">
    <w:abstractNumId w:val="33"/>
  </w:num>
  <w:num w:numId="27" w16cid:durableId="1935475734">
    <w:abstractNumId w:val="11"/>
  </w:num>
  <w:num w:numId="28" w16cid:durableId="900017643">
    <w:abstractNumId w:val="0"/>
  </w:num>
  <w:num w:numId="29" w16cid:durableId="1727874495">
    <w:abstractNumId w:val="10"/>
  </w:num>
  <w:num w:numId="30" w16cid:durableId="603877683">
    <w:abstractNumId w:val="23"/>
  </w:num>
  <w:num w:numId="31" w16cid:durableId="1855069441">
    <w:abstractNumId w:val="45"/>
  </w:num>
  <w:num w:numId="32" w16cid:durableId="1512185552">
    <w:abstractNumId w:val="46"/>
  </w:num>
  <w:num w:numId="33" w16cid:durableId="469708696">
    <w:abstractNumId w:val="9"/>
  </w:num>
  <w:num w:numId="34" w16cid:durableId="1521823301">
    <w:abstractNumId w:val="28"/>
  </w:num>
  <w:num w:numId="35" w16cid:durableId="2128232698">
    <w:abstractNumId w:val="22"/>
  </w:num>
  <w:num w:numId="36" w16cid:durableId="2099324741">
    <w:abstractNumId w:val="38"/>
  </w:num>
  <w:num w:numId="37" w16cid:durableId="169681911">
    <w:abstractNumId w:val="42"/>
  </w:num>
  <w:num w:numId="38" w16cid:durableId="931362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4"/>
  </w:num>
  <w:num w:numId="40" w16cid:durableId="521287095">
    <w:abstractNumId w:val="29"/>
  </w:num>
  <w:num w:numId="41" w16cid:durableId="1693529323">
    <w:abstractNumId w:val="25"/>
  </w:num>
  <w:num w:numId="42" w16cid:durableId="1131443007">
    <w:abstractNumId w:val="1"/>
  </w:num>
  <w:num w:numId="43" w16cid:durableId="1668631653">
    <w:abstractNumId w:val="20"/>
  </w:num>
  <w:num w:numId="44" w16cid:durableId="1575508262">
    <w:abstractNumId w:val="32"/>
  </w:num>
  <w:num w:numId="45" w16cid:durableId="51271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7"/>
  </w:num>
  <w:num w:numId="48" w16cid:durableId="121076482">
    <w:abstractNumId w:val="40"/>
  </w:num>
  <w:num w:numId="49" w16cid:durableId="482161985">
    <w:abstractNumId w:val="19"/>
  </w:num>
  <w:num w:numId="50" w16cid:durableId="987591354">
    <w:abstractNumId w:val="13"/>
  </w:num>
  <w:num w:numId="51" w16cid:durableId="109367322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8FALC5BiU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29EF"/>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A7840"/>
    <w:rsid w:val="000B097C"/>
    <w:rsid w:val="000B1F1D"/>
    <w:rsid w:val="000B33F0"/>
    <w:rsid w:val="000B480D"/>
    <w:rsid w:val="000C2111"/>
    <w:rsid w:val="000C7EEE"/>
    <w:rsid w:val="000D0CAB"/>
    <w:rsid w:val="000D15E8"/>
    <w:rsid w:val="000D6CA3"/>
    <w:rsid w:val="000E31FF"/>
    <w:rsid w:val="000E6D97"/>
    <w:rsid w:val="000E7185"/>
    <w:rsid w:val="000F368D"/>
    <w:rsid w:val="00100F10"/>
    <w:rsid w:val="00103C96"/>
    <w:rsid w:val="00104161"/>
    <w:rsid w:val="00107307"/>
    <w:rsid w:val="001150B9"/>
    <w:rsid w:val="001177D9"/>
    <w:rsid w:val="00117FE0"/>
    <w:rsid w:val="001220F1"/>
    <w:rsid w:val="001239DF"/>
    <w:rsid w:val="00123D97"/>
    <w:rsid w:val="00126239"/>
    <w:rsid w:val="001265D3"/>
    <w:rsid w:val="0013194F"/>
    <w:rsid w:val="00132877"/>
    <w:rsid w:val="001358E4"/>
    <w:rsid w:val="001362FA"/>
    <w:rsid w:val="001412B4"/>
    <w:rsid w:val="001417C0"/>
    <w:rsid w:val="00144645"/>
    <w:rsid w:val="00147B3C"/>
    <w:rsid w:val="0015305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B10"/>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1DEE"/>
    <w:rsid w:val="002521B9"/>
    <w:rsid w:val="00253473"/>
    <w:rsid w:val="00254906"/>
    <w:rsid w:val="0025490D"/>
    <w:rsid w:val="00257683"/>
    <w:rsid w:val="002605D2"/>
    <w:rsid w:val="00260AAA"/>
    <w:rsid w:val="00267230"/>
    <w:rsid w:val="002675C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0966"/>
    <w:rsid w:val="002E32E8"/>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2307"/>
    <w:rsid w:val="003D3100"/>
    <w:rsid w:val="003D511B"/>
    <w:rsid w:val="003D5ADF"/>
    <w:rsid w:val="003E096C"/>
    <w:rsid w:val="003E14D1"/>
    <w:rsid w:val="003E1945"/>
    <w:rsid w:val="003E1A17"/>
    <w:rsid w:val="003E24C1"/>
    <w:rsid w:val="003E2D45"/>
    <w:rsid w:val="003E7FAF"/>
    <w:rsid w:val="003F2A3D"/>
    <w:rsid w:val="003F2D44"/>
    <w:rsid w:val="003F5104"/>
    <w:rsid w:val="004013A7"/>
    <w:rsid w:val="00401649"/>
    <w:rsid w:val="00401C24"/>
    <w:rsid w:val="00402082"/>
    <w:rsid w:val="00405124"/>
    <w:rsid w:val="004070BE"/>
    <w:rsid w:val="004134AA"/>
    <w:rsid w:val="00416A96"/>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654"/>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59A"/>
    <w:rsid w:val="004E2DF5"/>
    <w:rsid w:val="004E338D"/>
    <w:rsid w:val="004E4375"/>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857D8"/>
    <w:rsid w:val="00586D21"/>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E4398"/>
    <w:rsid w:val="005F0EEC"/>
    <w:rsid w:val="005F1D20"/>
    <w:rsid w:val="005F3547"/>
    <w:rsid w:val="005F4495"/>
    <w:rsid w:val="005F50AB"/>
    <w:rsid w:val="005F5E0B"/>
    <w:rsid w:val="006017C4"/>
    <w:rsid w:val="006047E9"/>
    <w:rsid w:val="0060784E"/>
    <w:rsid w:val="006100D9"/>
    <w:rsid w:val="00611019"/>
    <w:rsid w:val="00611C61"/>
    <w:rsid w:val="00612B4F"/>
    <w:rsid w:val="00614B2E"/>
    <w:rsid w:val="006152A2"/>
    <w:rsid w:val="00615328"/>
    <w:rsid w:val="00615893"/>
    <w:rsid w:val="00617DC0"/>
    <w:rsid w:val="0063006B"/>
    <w:rsid w:val="0063157A"/>
    <w:rsid w:val="00631CEA"/>
    <w:rsid w:val="00637823"/>
    <w:rsid w:val="00640711"/>
    <w:rsid w:val="00652AF4"/>
    <w:rsid w:val="0065534E"/>
    <w:rsid w:val="006573A0"/>
    <w:rsid w:val="006666C1"/>
    <w:rsid w:val="00675170"/>
    <w:rsid w:val="0068176C"/>
    <w:rsid w:val="0068201F"/>
    <w:rsid w:val="006820BA"/>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1504"/>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BF1"/>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690C"/>
    <w:rsid w:val="00787D88"/>
    <w:rsid w:val="007924FF"/>
    <w:rsid w:val="007927C9"/>
    <w:rsid w:val="00792ED4"/>
    <w:rsid w:val="00794F15"/>
    <w:rsid w:val="007A03FA"/>
    <w:rsid w:val="007A06C1"/>
    <w:rsid w:val="007A1EB4"/>
    <w:rsid w:val="007A3108"/>
    <w:rsid w:val="007A3F77"/>
    <w:rsid w:val="007A52F8"/>
    <w:rsid w:val="007A6DBD"/>
    <w:rsid w:val="007A7A65"/>
    <w:rsid w:val="007B4A6A"/>
    <w:rsid w:val="007B7DB3"/>
    <w:rsid w:val="007C15ED"/>
    <w:rsid w:val="007C62D5"/>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0E3B"/>
    <w:rsid w:val="00804960"/>
    <w:rsid w:val="008106EB"/>
    <w:rsid w:val="0081161F"/>
    <w:rsid w:val="00814E3F"/>
    <w:rsid w:val="00816EC0"/>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5476"/>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771E4"/>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D2F"/>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35BBB"/>
    <w:rsid w:val="00A40693"/>
    <w:rsid w:val="00A41C32"/>
    <w:rsid w:val="00A42B6C"/>
    <w:rsid w:val="00A43327"/>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D3FFE"/>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2A61"/>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31AE8"/>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A6E65"/>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575B"/>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C7B52"/>
    <w:rsid w:val="00DD15F7"/>
    <w:rsid w:val="00DD3698"/>
    <w:rsid w:val="00DD46E2"/>
    <w:rsid w:val="00DD6C45"/>
    <w:rsid w:val="00DE1E21"/>
    <w:rsid w:val="00DE3290"/>
    <w:rsid w:val="00DE516F"/>
    <w:rsid w:val="00DF0AE9"/>
    <w:rsid w:val="00E04D37"/>
    <w:rsid w:val="00E07546"/>
    <w:rsid w:val="00E11347"/>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53D2"/>
    <w:rsid w:val="00EA6506"/>
    <w:rsid w:val="00EB167F"/>
    <w:rsid w:val="00EB2D92"/>
    <w:rsid w:val="00EB3F2D"/>
    <w:rsid w:val="00EB4D81"/>
    <w:rsid w:val="00EB633B"/>
    <w:rsid w:val="00EC2E3F"/>
    <w:rsid w:val="00EC3E2E"/>
    <w:rsid w:val="00ED0AAF"/>
    <w:rsid w:val="00ED0D5E"/>
    <w:rsid w:val="00ED5F53"/>
    <w:rsid w:val="00ED749C"/>
    <w:rsid w:val="00EE24FC"/>
    <w:rsid w:val="00EE2F4E"/>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46951"/>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577"/>
    <w:rsid w:val="00F85A28"/>
    <w:rsid w:val="00F90ABA"/>
    <w:rsid w:val="00F9492C"/>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 w:type="character" w:styleId="UnresolvedMention">
    <w:name w:val="Unresolved Mention"/>
    <w:basedOn w:val="DefaultParagraphFont"/>
    <w:uiPriority w:val="99"/>
    <w:semiHidden/>
    <w:unhideWhenUsed/>
    <w:rsid w:val="00F8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hares.com/us/insights/investing-in-an-election-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88A67FDC-95E1-4BA9-9677-562E7EBD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4.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886</Words>
  <Characters>4795</Characters>
  <Application>Microsoft Office Word</Application>
  <DocSecurity>0</DocSecurity>
  <Lines>95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95</cp:revision>
  <cp:lastPrinted>2024-01-05T17:15:00Z</cp:lastPrinted>
  <dcterms:created xsi:type="dcterms:W3CDTF">2023-04-14T16:37:00Z</dcterms:created>
  <dcterms:modified xsi:type="dcterms:W3CDTF">2024-07-17T15:46:00Z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