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4777" w14:textId="4CF027D2" w:rsidR="00CE7DF2" w:rsidRPr="004D480C" w:rsidRDefault="00116740" w:rsidP="00BF0243">
      <w:pPr>
        <w:rPr>
          <w:rFonts w:eastAsia="Times New Roman" w:cstheme="minorHAnsi"/>
          <w:sz w:val="20"/>
          <w:szCs w:val="20"/>
        </w:rPr>
      </w:pPr>
      <w:bookmarkStart w:id="0" w:name="_Hlk33428732"/>
      <w:bookmarkEnd w:id="0"/>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7C55C0"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24A0FE52" w:rsidR="00310271" w:rsidRPr="004D480C" w:rsidRDefault="007B5170" w:rsidP="00BF0243">
      <w:pPr>
        <w:ind w:left="720"/>
        <w:rPr>
          <w:rFonts w:eastAsia="Proxima Nova Light" w:cstheme="minorHAnsi"/>
          <w:color w:val="005EA4"/>
          <w:sz w:val="44"/>
          <w:szCs w:val="44"/>
        </w:rPr>
      </w:pPr>
      <w:r>
        <w:rPr>
          <w:rFonts w:eastAsia="Times New Roman" w:cstheme="minorHAnsi"/>
          <w:b/>
          <w:bCs/>
          <w:color w:val="005EA4"/>
          <w:sz w:val="44"/>
          <w:szCs w:val="44"/>
        </w:rPr>
        <w:t>Ju</w:t>
      </w:r>
      <w:r w:rsidR="00F8517C">
        <w:rPr>
          <w:rFonts w:eastAsia="Times New Roman" w:cstheme="minorHAnsi"/>
          <w:b/>
          <w:bCs/>
          <w:color w:val="005EA4"/>
          <w:sz w:val="44"/>
          <w:szCs w:val="44"/>
        </w:rPr>
        <w:t>ly</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670DB5"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5044A696" w14:textId="77777777" w:rsidR="00CA10C2" w:rsidRPr="004B5874" w:rsidRDefault="00CA10C2" w:rsidP="00CA10C2">
      <w:pPr>
        <w:rPr>
          <w:rFonts w:eastAsia="Avenir" w:cstheme="minorHAnsi"/>
          <w:color w:val="58595B"/>
        </w:rPr>
      </w:pPr>
      <w:r w:rsidRPr="004B5874">
        <w:rPr>
          <w:rFonts w:eastAsia="Avenir" w:cstheme="minorHAnsi"/>
          <w:color w:val="58595B"/>
        </w:rPr>
        <w:t>The stock market delivered a mixed bag in July. The broader indices set new highs while tech stocks ultimately took a step back. Still, the long-term upward trend that began for stocks in October 2022 remains solid. Reading between the lines of the policy statement following the July meeting of the US Federal Reserve (Fed) -- plus comments from Fed Chair Jerome Powell -- it now appears that an interest rate cut in September is all but a done deal.</w:t>
      </w:r>
    </w:p>
    <w:p w14:paraId="7BABA9F4" w14:textId="12C4AA7B" w:rsidR="00962FF6" w:rsidRPr="001470E4" w:rsidRDefault="007B7745" w:rsidP="00962FF6">
      <w:pPr>
        <w:pStyle w:val="Heading2"/>
        <w:ind w:right="360"/>
        <w:rPr>
          <w:rFonts w:asciiTheme="minorHAnsi" w:eastAsia="Avenir" w:hAnsiTheme="minorHAnsi" w:cstheme="minorHAnsi"/>
          <w:color w:val="005EA4"/>
        </w:rPr>
      </w:pPr>
      <w:r>
        <w:rPr>
          <w:rFonts w:asciiTheme="minorHAnsi" w:eastAsia="Avenir" w:hAnsiTheme="minorHAnsi" w:cstheme="minorHAnsi"/>
          <w:color w:val="005EA4"/>
        </w:rPr>
        <w:t>Stock Surge in July</w:t>
      </w:r>
    </w:p>
    <w:p w14:paraId="7ED41104" w14:textId="77777777" w:rsidR="003238DF" w:rsidRPr="004B5874" w:rsidRDefault="003238DF" w:rsidP="003238DF">
      <w:pPr>
        <w:rPr>
          <w:rFonts w:eastAsia="Avenir" w:cstheme="minorHAnsi"/>
          <w:color w:val="58595B"/>
        </w:rPr>
      </w:pPr>
      <w:r w:rsidRPr="004B5874">
        <w:rPr>
          <w:rFonts w:eastAsia="Avenir" w:cstheme="minorHAnsi"/>
          <w:color w:val="58595B"/>
        </w:rPr>
        <w:t>The markets continued their climb higher in July, setting new highs before a widespread selloff caused stocks to slide in the first week of August. The popular Dow Jones Industrial Average® (DJIA) led the surge, gaining 4.4%, while the broad market S&amp;P 500® (SPX) gained 1.1% compared to June. The tech-heavy NASDAQ Composite Index (COMP) also made a new high before taking a small step back, falling just under 1% for the month.</w:t>
      </w:r>
    </w:p>
    <w:p w14:paraId="65A63B83" w14:textId="77777777" w:rsidR="003238DF" w:rsidRPr="004B5874" w:rsidRDefault="003238DF" w:rsidP="003238DF">
      <w:pPr>
        <w:rPr>
          <w:rFonts w:eastAsia="Avenir" w:cstheme="minorHAnsi"/>
          <w:color w:val="58595B"/>
        </w:rPr>
      </w:pPr>
    </w:p>
    <w:p w14:paraId="289DBBF1" w14:textId="77777777" w:rsidR="003238DF" w:rsidRPr="004B5874" w:rsidRDefault="003238DF" w:rsidP="003238DF">
      <w:pPr>
        <w:rPr>
          <w:rFonts w:eastAsia="Avenir" w:cstheme="minorHAnsi"/>
        </w:rPr>
      </w:pPr>
      <w:r w:rsidRPr="004B5874">
        <w:rPr>
          <w:rFonts w:eastAsia="Avenir" w:cstheme="minorHAnsi"/>
          <w:color w:val="58595B"/>
        </w:rPr>
        <w:t xml:space="preserve">The positive momentum was driven by a steady march of positive economic signals, including economic growth (GDP) and inflation numbers. </w:t>
      </w:r>
      <w:proofErr w:type="gramStart"/>
      <w:r w:rsidRPr="004B5874">
        <w:rPr>
          <w:rFonts w:eastAsia="Avenir" w:cstheme="minorHAnsi"/>
          <w:color w:val="58595B"/>
        </w:rPr>
        <w:t>The NASDAQ's</w:t>
      </w:r>
      <w:proofErr w:type="gramEnd"/>
      <w:r w:rsidRPr="004B5874">
        <w:rPr>
          <w:rFonts w:eastAsia="Avenir" w:cstheme="minorHAnsi"/>
          <w:color w:val="58595B"/>
        </w:rPr>
        <w:t xml:space="preserve"> eventual pullback was largely expected as investors looked to sell to take advantage of the upswing in tech stock prices. The July Fed meeting also buoyed stocks as the interest rate policymaker now appears poised to cut rates in September</w:t>
      </w:r>
      <w:r w:rsidRPr="004B5874">
        <w:rPr>
          <w:rFonts w:eastAsia="Avenir" w:cstheme="minorHAnsi"/>
        </w:rPr>
        <w:t xml:space="preserve">. </w:t>
      </w:r>
      <w:hyperlink r:id="rId18">
        <w:r w:rsidRPr="004B5874">
          <w:rPr>
            <w:rFonts w:eastAsia="Avenir" w:cstheme="minorHAnsi"/>
            <w:color w:val="1155CC"/>
            <w:u w:val="single"/>
          </w:rPr>
          <w:t>CNN</w:t>
        </w:r>
      </w:hyperlink>
    </w:p>
    <w:p w14:paraId="7685076C" w14:textId="77777777" w:rsidR="00442743" w:rsidRPr="001470E4" w:rsidRDefault="00442743" w:rsidP="00962FF6">
      <w:pPr>
        <w:ind w:right="360"/>
        <w:rPr>
          <w:rFonts w:eastAsia="Avenir" w:cstheme="minorHAnsi"/>
        </w:rPr>
      </w:pPr>
    </w:p>
    <w:p w14:paraId="0B4A2395" w14:textId="77777777" w:rsidR="003B44B8" w:rsidRDefault="003B44B8" w:rsidP="003B44B8">
      <w:pPr>
        <w:ind w:left="360"/>
        <w:rPr>
          <w:rFonts w:ascii="Avenir" w:eastAsia="Avenir" w:hAnsi="Avenir" w:cs="Avenir"/>
        </w:rPr>
      </w:pPr>
      <w:r>
        <w:rPr>
          <w:rFonts w:ascii="Avenir" w:eastAsia="Avenir" w:hAnsi="Avenir" w:cs="Avenir"/>
          <w:noProof/>
        </w:rPr>
        <w:drawing>
          <wp:inline distT="114300" distB="114300" distL="114300" distR="114300" wp14:anchorId="60306F43" wp14:editId="7030F9F7">
            <wp:extent cx="5943600" cy="3048000"/>
            <wp:effectExtent l="0" t="0" r="0" b="0"/>
            <wp:docPr id="1176217309" name="image1.png" descr="A graph with blue line&#10;&#10;Description automatically generated"/>
            <wp:cNvGraphicFramePr/>
            <a:graphic xmlns:a="http://schemas.openxmlformats.org/drawingml/2006/main">
              <a:graphicData uri="http://schemas.openxmlformats.org/drawingml/2006/picture">
                <pic:pic xmlns:pic="http://schemas.openxmlformats.org/drawingml/2006/picture">
                  <pic:nvPicPr>
                    <pic:cNvPr id="1176217309" name="image1.png" descr="A graph with blue line&#10;&#10;Description automatically generated"/>
                    <pic:cNvPicPr preferRelativeResize="0"/>
                  </pic:nvPicPr>
                  <pic:blipFill>
                    <a:blip r:embed="rId19"/>
                    <a:srcRect/>
                    <a:stretch>
                      <a:fillRect/>
                    </a:stretch>
                  </pic:blipFill>
                  <pic:spPr>
                    <a:xfrm>
                      <a:off x="0" y="0"/>
                      <a:ext cx="5943600" cy="3048000"/>
                    </a:xfrm>
                    <a:prstGeom prst="rect">
                      <a:avLst/>
                    </a:prstGeom>
                    <a:ln/>
                  </pic:spPr>
                </pic:pic>
              </a:graphicData>
            </a:graphic>
          </wp:inline>
        </w:drawing>
      </w:r>
    </w:p>
    <w:p w14:paraId="6E2499D9" w14:textId="77777777" w:rsidR="003B44B8" w:rsidRDefault="003B44B8" w:rsidP="003B44B8">
      <w:pPr>
        <w:ind w:left="360"/>
        <w:jc w:val="center"/>
        <w:rPr>
          <w:rFonts w:ascii="Avenir" w:eastAsia="Avenir" w:hAnsi="Avenir" w:cs="Avenir"/>
        </w:rPr>
      </w:pPr>
    </w:p>
    <w:p w14:paraId="3643C02E" w14:textId="21F2794F" w:rsidR="003B44B8" w:rsidRDefault="003B44B8" w:rsidP="003B44B8">
      <w:pPr>
        <w:ind w:left="360"/>
        <w:jc w:val="center"/>
        <w:rPr>
          <w:rFonts w:ascii="Avenir" w:eastAsia="Avenir" w:hAnsi="Avenir" w:cs="Avenir"/>
        </w:rPr>
      </w:pPr>
      <w:r>
        <w:rPr>
          <w:rFonts w:ascii="Avenir" w:eastAsia="Avenir" w:hAnsi="Avenir" w:cs="Avenir"/>
        </w:rPr>
        <w:t xml:space="preserve">Source: </w:t>
      </w:r>
      <w:hyperlink r:id="rId20">
        <w:r>
          <w:rPr>
            <w:rFonts w:ascii="Avenir" w:eastAsia="Avenir" w:hAnsi="Avenir" w:cs="Avenir"/>
            <w:color w:val="1155CC"/>
            <w:u w:val="single"/>
          </w:rPr>
          <w:t>Wall Street Journal</w:t>
        </w:r>
      </w:hyperlink>
    </w:p>
    <w:p w14:paraId="7879B08F" w14:textId="77777777" w:rsidR="00D75C33" w:rsidRPr="001470E4" w:rsidRDefault="00D75C33" w:rsidP="00714486">
      <w:pPr>
        <w:ind w:right="360"/>
        <w:jc w:val="center"/>
        <w:rPr>
          <w:rFonts w:eastAsia="Avenir" w:cstheme="minorHAnsi"/>
        </w:rPr>
      </w:pPr>
    </w:p>
    <w:p w14:paraId="4821E03C" w14:textId="64045C4D" w:rsidR="00BD5752" w:rsidRPr="006555E9" w:rsidRDefault="003B44B8" w:rsidP="00BD5752">
      <w:pPr>
        <w:pStyle w:val="Heading2"/>
        <w:rPr>
          <w:rFonts w:asciiTheme="minorHAnsi" w:eastAsia="Avenir" w:hAnsiTheme="minorHAnsi" w:cstheme="minorHAnsi"/>
          <w:b w:val="0"/>
        </w:rPr>
      </w:pPr>
      <w:r>
        <w:rPr>
          <w:rFonts w:asciiTheme="minorHAnsi" w:eastAsia="Avenir" w:hAnsiTheme="minorHAnsi" w:cstheme="minorHAnsi"/>
        </w:rPr>
        <w:t>Interest Rate Cuts Likely in September</w:t>
      </w:r>
    </w:p>
    <w:p w14:paraId="630D7752" w14:textId="77777777" w:rsidR="002C01C4" w:rsidRPr="004B5874" w:rsidRDefault="002C01C4" w:rsidP="002C01C4">
      <w:pPr>
        <w:spacing w:after="160" w:line="259" w:lineRule="auto"/>
        <w:rPr>
          <w:rFonts w:eastAsia="Avenir" w:cstheme="minorHAnsi"/>
          <w:color w:val="58595B"/>
        </w:rPr>
      </w:pPr>
      <w:r w:rsidRPr="004B5874">
        <w:rPr>
          <w:rFonts w:eastAsia="Avenir" w:cstheme="minorHAnsi"/>
          <w:color w:val="58595B"/>
        </w:rPr>
        <w:t xml:space="preserve">Taking no one by surprise, the Fed kept rates unchanged following its latest policy meeting at the end of July. The US central bank continues to keep its sights set firmly on bringing down inflation by keeping its key rate at a 23-year high of 5.3%. According to its statement, "the Committee does not expect it will be appropriate to reduce the target range until it has gained greater confidence that inflation is moving sustainably toward 2 percent." </w:t>
      </w:r>
    </w:p>
    <w:p w14:paraId="4AC00DB5" w14:textId="77777777" w:rsidR="002C01C4" w:rsidRPr="004B5874" w:rsidRDefault="002C01C4" w:rsidP="002C01C4">
      <w:pPr>
        <w:spacing w:after="160" w:line="259" w:lineRule="auto"/>
        <w:rPr>
          <w:rFonts w:eastAsia="Avenir" w:cstheme="minorHAnsi"/>
        </w:rPr>
      </w:pPr>
    </w:p>
    <w:p w14:paraId="16A77A48" w14:textId="77777777" w:rsidR="002C01C4" w:rsidRPr="004B5874" w:rsidRDefault="002C01C4" w:rsidP="002C01C4">
      <w:pPr>
        <w:spacing w:after="160" w:line="259" w:lineRule="auto"/>
        <w:rPr>
          <w:rFonts w:eastAsia="Avenir" w:cstheme="minorHAnsi"/>
          <w:color w:val="58595B"/>
        </w:rPr>
      </w:pPr>
      <w:r w:rsidRPr="004B5874">
        <w:rPr>
          <w:rFonts w:eastAsia="Avenir" w:cstheme="minorHAnsi"/>
          <w:color w:val="58595B"/>
        </w:rPr>
        <w:lastRenderedPageBreak/>
        <w:t>The news comes as traders and investors – many of whom had abandoned any hope of interest rate cuts this year – will likely see at least one reduction, most likely in September. The financial markets appear to agree, currently pricing in 100% odds that the US central bank will cut its benchmark rate. Fed Chair Jerome Powell said during post meeting comments that "a reduction in our policy rate could be on the table" when the Fed meets in September.</w:t>
      </w:r>
    </w:p>
    <w:p w14:paraId="320AC871" w14:textId="77777777" w:rsidR="002C01C4" w:rsidRDefault="002C01C4" w:rsidP="002C01C4">
      <w:pPr>
        <w:spacing w:after="160" w:line="259" w:lineRule="auto"/>
        <w:rPr>
          <w:rFonts w:ascii="Avenir" w:eastAsia="Avenir" w:hAnsi="Avenir" w:cs="Avenir"/>
        </w:rPr>
      </w:pPr>
      <w:r w:rsidRPr="004B5874">
        <w:rPr>
          <w:rFonts w:eastAsia="Avenir" w:cstheme="minorHAnsi"/>
          <w:color w:val="58595B"/>
        </w:rPr>
        <w:t xml:space="preserve">The Fed seeks to play a tricky balancing game. On the one hand, it wants to keep interest rates high enough to put a </w:t>
      </w:r>
      <w:proofErr w:type="gramStart"/>
      <w:r w:rsidRPr="004B5874">
        <w:rPr>
          <w:rFonts w:eastAsia="Avenir" w:cstheme="minorHAnsi"/>
          <w:color w:val="58595B"/>
        </w:rPr>
        <w:t>long term</w:t>
      </w:r>
      <w:proofErr w:type="gramEnd"/>
      <w:r w:rsidRPr="004B5874">
        <w:rPr>
          <w:rFonts w:eastAsia="Avenir" w:cstheme="minorHAnsi"/>
          <w:color w:val="58595B"/>
        </w:rPr>
        <w:t xml:space="preserve"> damper on inflation. Its preferred inflation gauge stands at 2.5%, considerably below its peak of 7.1% two years ago, but stubbornly above its 2% target. On the other hand, it wants to keep interest rates low enough to keep borrowing costs from hampering growth and job creation. Should the Fed achieve both goals, it will likely achieve a "soft landing" out of this latest interest rate cycle, a rare accomplishment.</w:t>
      </w:r>
      <w:r w:rsidRPr="004B5874">
        <w:rPr>
          <w:rFonts w:eastAsia="Avenir" w:cstheme="minorHAnsi"/>
        </w:rPr>
        <w:t xml:space="preserve"> </w:t>
      </w:r>
      <w:hyperlink r:id="rId21">
        <w:r w:rsidRPr="004B5874">
          <w:rPr>
            <w:rFonts w:eastAsia="Avenir" w:cstheme="minorHAnsi"/>
            <w:color w:val="1155CC"/>
            <w:u w:val="single"/>
          </w:rPr>
          <w:t>Federal Reserve</w:t>
        </w:r>
      </w:hyperlink>
      <w:r w:rsidRPr="004B5874">
        <w:rPr>
          <w:rFonts w:eastAsia="Avenir" w:cstheme="minorHAnsi"/>
        </w:rPr>
        <w:t xml:space="preserve">, </w:t>
      </w:r>
      <w:hyperlink r:id="rId22">
        <w:r w:rsidRPr="004B5874">
          <w:rPr>
            <w:rFonts w:eastAsia="Avenir" w:cstheme="minorHAnsi"/>
            <w:color w:val="1155CC"/>
            <w:u w:val="single"/>
          </w:rPr>
          <w:t>AP News</w:t>
        </w:r>
      </w:hyperlink>
    </w:p>
    <w:p w14:paraId="0EFF3C1C" w14:textId="28AAD406" w:rsidR="00E45703" w:rsidRPr="006555E9" w:rsidRDefault="002C01C4" w:rsidP="00E45703">
      <w:pPr>
        <w:pStyle w:val="Heading2"/>
        <w:rPr>
          <w:rFonts w:asciiTheme="minorHAnsi" w:eastAsia="Avenir" w:hAnsiTheme="minorHAnsi" w:cstheme="minorHAnsi"/>
          <w:b w:val="0"/>
        </w:rPr>
      </w:pPr>
      <w:r>
        <w:rPr>
          <w:rFonts w:asciiTheme="minorHAnsi" w:eastAsia="Avenir" w:hAnsiTheme="minorHAnsi" w:cstheme="minorHAnsi"/>
        </w:rPr>
        <w:t>Inflation Continues Easing</w:t>
      </w:r>
    </w:p>
    <w:p w14:paraId="5080102D" w14:textId="77777777" w:rsidR="00381561" w:rsidRPr="004B5874" w:rsidRDefault="00381561" w:rsidP="00381561">
      <w:pPr>
        <w:rPr>
          <w:rFonts w:ascii="Avenir" w:eastAsia="Avenir" w:hAnsi="Avenir" w:cs="Avenir"/>
          <w:color w:val="58595B"/>
        </w:rPr>
      </w:pPr>
      <w:r w:rsidRPr="004B5874">
        <w:rPr>
          <w:rFonts w:ascii="Avenir" w:eastAsia="Avenir" w:hAnsi="Avenir" w:cs="Avenir"/>
          <w:color w:val="58595B"/>
        </w:rPr>
        <w:t>Inflation figures continue to moderate. According to the latest figures from the US Bureau of Economic Analysis, the personal expenditures price index (PCE) increased slightly in June, up 0.1% over May. Compared to a year ago, prices were up 2.5%, in line with Dow Jones estimates. The year-ago numbers have now decreased two months in a row. Spending also held relatively strong according to the report, up 0.3% and in line with expectations.</w:t>
      </w:r>
    </w:p>
    <w:p w14:paraId="726765E7" w14:textId="77777777" w:rsidR="00381561" w:rsidRPr="004B5874" w:rsidRDefault="00381561" w:rsidP="00381561">
      <w:pPr>
        <w:rPr>
          <w:rFonts w:ascii="Avenir" w:eastAsia="Avenir" w:hAnsi="Avenir" w:cs="Avenir"/>
          <w:color w:val="58595B"/>
        </w:rPr>
      </w:pPr>
    </w:p>
    <w:p w14:paraId="5BF95DD8" w14:textId="77777777" w:rsidR="00381561" w:rsidRPr="004B5874" w:rsidRDefault="00381561" w:rsidP="00381561">
      <w:pPr>
        <w:rPr>
          <w:rFonts w:ascii="Avenir" w:eastAsia="Avenir" w:hAnsi="Avenir" w:cs="Avenir"/>
          <w:color w:val="58595B"/>
        </w:rPr>
      </w:pPr>
      <w:r w:rsidRPr="004B5874">
        <w:rPr>
          <w:rFonts w:ascii="Avenir" w:eastAsia="Avenir" w:hAnsi="Avenir" w:cs="Avenir"/>
          <w:color w:val="58595B"/>
        </w:rPr>
        <w:t xml:space="preserve">Core inflation – which excludes the more volatile components of food and energy – also came in at expectations in June, gaining 0.2% for the month and 2.6% for the year. The Fed tends to focus more on core inflation numbers – both PCE and CPI (Consumer Price Index) -- since over the long run they tend to fluctuate less widely than the top line inflation gauges. </w:t>
      </w:r>
      <w:hyperlink r:id="rId23">
        <w:r w:rsidRPr="00907CEA">
          <w:rPr>
            <w:rFonts w:ascii="Avenir" w:eastAsia="Avenir" w:hAnsi="Avenir" w:cs="Avenir"/>
            <w:color w:val="005EA4"/>
            <w:u w:val="single"/>
          </w:rPr>
          <w:t>CNBC</w:t>
        </w:r>
      </w:hyperlink>
      <w:r w:rsidRPr="00907CEA">
        <w:rPr>
          <w:rFonts w:ascii="Avenir" w:eastAsia="Avenir" w:hAnsi="Avenir" w:cs="Avenir"/>
          <w:color w:val="005EA4"/>
        </w:rPr>
        <w:t xml:space="preserve">, </w:t>
      </w:r>
      <w:hyperlink r:id="rId24">
        <w:r w:rsidRPr="00907CEA">
          <w:rPr>
            <w:rFonts w:ascii="Avenir" w:eastAsia="Avenir" w:hAnsi="Avenir" w:cs="Avenir"/>
            <w:color w:val="005EA4"/>
            <w:u w:val="single"/>
          </w:rPr>
          <w:t>Bureau of Economic Analysis</w:t>
        </w:r>
      </w:hyperlink>
    </w:p>
    <w:p w14:paraId="7CBA3069" w14:textId="7F02766F" w:rsidR="002219E6" w:rsidRPr="006555E9" w:rsidRDefault="00381561" w:rsidP="006555E9">
      <w:pPr>
        <w:pStyle w:val="Heading2"/>
        <w:rPr>
          <w:rFonts w:asciiTheme="minorHAnsi" w:eastAsia="Avenir" w:hAnsiTheme="minorHAnsi" w:cstheme="minorHAnsi"/>
        </w:rPr>
      </w:pPr>
      <w:r>
        <w:rPr>
          <w:rFonts w:asciiTheme="minorHAnsi" w:eastAsia="Avenir" w:hAnsiTheme="minorHAnsi" w:cstheme="minorHAnsi"/>
        </w:rPr>
        <w:t>Soft Jobs Data Sparks Re</w:t>
      </w:r>
      <w:r w:rsidR="00B23CB8">
        <w:rPr>
          <w:rFonts w:asciiTheme="minorHAnsi" w:eastAsia="Avenir" w:hAnsiTheme="minorHAnsi" w:cstheme="minorHAnsi"/>
        </w:rPr>
        <w:t>cession Concerns</w:t>
      </w:r>
    </w:p>
    <w:p w14:paraId="0A703C1A" w14:textId="77777777" w:rsidR="00EF3A04" w:rsidRPr="004B5874" w:rsidRDefault="00EF3A04" w:rsidP="00EF3A04">
      <w:pPr>
        <w:pBdr>
          <w:top w:val="nil"/>
          <w:left w:val="nil"/>
          <w:bottom w:val="nil"/>
          <w:right w:val="nil"/>
          <w:between w:val="nil"/>
        </w:pBdr>
        <w:rPr>
          <w:rFonts w:eastAsia="Avenir" w:cstheme="minorHAnsi"/>
          <w:color w:val="58595B"/>
        </w:rPr>
      </w:pPr>
      <w:r w:rsidRPr="004B5874">
        <w:rPr>
          <w:rFonts w:eastAsia="Avenir" w:cstheme="minorHAnsi"/>
          <w:color w:val="58595B"/>
        </w:rPr>
        <w:t>Weaker-than-expected labor data has raised concerns about the health of the US economy. With job creation at its weakest and the unemployment rate at its highest since October 2021, signs of a looming recession are becoming more pronounced. A rise of 0.6% in unemployment since January is alarming, as such increases aren’t typical of a healthy economy. This trend indicates that the Federal Reserve may have delayed interest rate cuts for too long, and the markets have responded sharply. The S&amp;P 500 has dropped nearly 5% in the days since the jobs data was released, while ten-year Treasury yields fell to 3.82%.</w:t>
      </w:r>
    </w:p>
    <w:p w14:paraId="0BC04D65" w14:textId="77777777" w:rsidR="00EF3A04" w:rsidRPr="004B5874" w:rsidRDefault="00EF3A04" w:rsidP="00EF3A04">
      <w:pPr>
        <w:pBdr>
          <w:top w:val="nil"/>
          <w:left w:val="nil"/>
          <w:bottom w:val="nil"/>
          <w:right w:val="nil"/>
          <w:between w:val="nil"/>
        </w:pBdr>
        <w:rPr>
          <w:rFonts w:eastAsia="Avenir" w:cstheme="minorHAnsi"/>
          <w:color w:val="58595B"/>
        </w:rPr>
      </w:pPr>
    </w:p>
    <w:p w14:paraId="0EBE61ED" w14:textId="77777777" w:rsidR="00EF3A04" w:rsidRPr="004B5874" w:rsidRDefault="00EF3A04" w:rsidP="00EF3A04">
      <w:pPr>
        <w:pBdr>
          <w:top w:val="nil"/>
          <w:left w:val="nil"/>
          <w:bottom w:val="nil"/>
          <w:right w:val="nil"/>
          <w:between w:val="nil"/>
        </w:pBdr>
        <w:rPr>
          <w:rFonts w:eastAsia="Avenir" w:cstheme="minorHAnsi"/>
        </w:rPr>
      </w:pPr>
      <w:r w:rsidRPr="004B5874">
        <w:rPr>
          <w:rFonts w:eastAsia="Avenir" w:cstheme="minorHAnsi"/>
          <w:color w:val="58595B"/>
        </w:rPr>
        <w:t xml:space="preserve">Despite the modest job gains in July, broader economic indicators paint a more troubling picture. The unemployment </w:t>
      </w:r>
      <w:proofErr w:type="spellStart"/>
      <w:r w:rsidRPr="004B5874">
        <w:rPr>
          <w:rFonts w:eastAsia="Avenir" w:cstheme="minorHAnsi"/>
          <w:color w:val="58595B"/>
        </w:rPr>
        <w:t>rate's</w:t>
      </w:r>
      <w:proofErr w:type="spellEnd"/>
      <w:r w:rsidRPr="004B5874">
        <w:rPr>
          <w:rFonts w:eastAsia="Avenir" w:cstheme="minorHAnsi"/>
          <w:color w:val="58595B"/>
        </w:rPr>
        <w:t xml:space="preserve"> rise to 4.3% and the decline in average monthly job growth from 251,000 in 2023 to 194,000 over the past six months signal a slowdown. Additional data, such as reduced hiring rates, increased jobless claims, and a slump in manufacturing activity, further underscore the weakening job market. Although some factors, like labor force expansion and temporary layoffs, offer a slightly optimistic view, the overall trajectory suggests the need for action by policymakers. The markets now anticipate a larger rate cut from the Fed in September.</w:t>
      </w:r>
      <w:r w:rsidRPr="004B5874">
        <w:rPr>
          <w:rFonts w:eastAsia="Avenir" w:cstheme="minorHAnsi"/>
        </w:rPr>
        <w:t xml:space="preserve"> </w:t>
      </w:r>
      <w:hyperlink r:id="rId25">
        <w:r w:rsidRPr="004B5874">
          <w:rPr>
            <w:rFonts w:eastAsia="Avenir" w:cstheme="minorHAnsi"/>
            <w:color w:val="1155CC"/>
            <w:u w:val="single"/>
          </w:rPr>
          <w:t>USA Today</w:t>
        </w:r>
      </w:hyperlink>
    </w:p>
    <w:p w14:paraId="60E280A5" w14:textId="77777777" w:rsidR="006F28A9" w:rsidRPr="00545D21" w:rsidRDefault="006F28A9" w:rsidP="006F28A9">
      <w:pPr>
        <w:ind w:right="360"/>
        <w:rPr>
          <w:rFonts w:eastAsia="Avenir" w:cstheme="minorHAnsi"/>
        </w:rPr>
      </w:pPr>
    </w:p>
    <w:p w14:paraId="6559A5B9" w14:textId="734EB02F"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t>This research material was prepared by Tifin Marketing Automation.</w:t>
      </w:r>
    </w:p>
    <w:p w14:paraId="6645C804" w14:textId="77777777" w:rsidR="00FE629C" w:rsidRPr="000B3FB0" w:rsidRDefault="00FE629C" w:rsidP="006F28A9">
      <w:pPr>
        <w:ind w:right="360"/>
        <w:rPr>
          <w:rFonts w:eastAsia="Avenir" w:cstheme="minorHAnsi"/>
          <w:color w:val="999999"/>
          <w:sz w:val="16"/>
          <w:szCs w:val="16"/>
        </w:rPr>
      </w:pPr>
    </w:p>
    <w:p w14:paraId="5D34CB55" w14:textId="77777777" w:rsidR="00211D5C" w:rsidRDefault="00211D5C" w:rsidP="00211D5C">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4D695917" w14:textId="77777777" w:rsidR="00211D5C" w:rsidRDefault="00211D5C" w:rsidP="00211D5C">
      <w:pPr>
        <w:ind w:right="360"/>
        <w:rPr>
          <w:rFonts w:ascii="Avenir" w:eastAsia="Avenir" w:hAnsi="Avenir" w:cs="Avenir"/>
          <w:b/>
          <w:color w:val="999999"/>
          <w:sz w:val="16"/>
          <w:szCs w:val="16"/>
        </w:rPr>
      </w:pPr>
    </w:p>
    <w:p w14:paraId="5D8B9FB2" w14:textId="77777777" w:rsidR="00211D5C" w:rsidRDefault="00211D5C" w:rsidP="00211D5C">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07A4F6C" w14:textId="77777777" w:rsidR="00211D5C" w:rsidRDefault="00211D5C" w:rsidP="00211D5C">
      <w:pPr>
        <w:ind w:right="360"/>
        <w:rPr>
          <w:rFonts w:ascii="Avenir" w:eastAsia="Avenir" w:hAnsi="Avenir" w:cs="Avenir"/>
          <w:color w:val="999999"/>
          <w:sz w:val="16"/>
          <w:szCs w:val="16"/>
        </w:rPr>
      </w:pPr>
    </w:p>
    <w:p w14:paraId="7F45C151" w14:textId="77777777" w:rsidR="00211D5C" w:rsidRDefault="00211D5C" w:rsidP="00211D5C">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32162D86" w14:textId="77777777" w:rsidR="00211D5C" w:rsidRDefault="00211D5C" w:rsidP="00211D5C">
      <w:pPr>
        <w:ind w:right="360"/>
        <w:rPr>
          <w:rFonts w:ascii="Avenir" w:eastAsia="Avenir" w:hAnsi="Avenir" w:cs="Avenir"/>
          <w:color w:val="999999"/>
          <w:sz w:val="16"/>
          <w:szCs w:val="16"/>
        </w:rPr>
      </w:pPr>
    </w:p>
    <w:p w14:paraId="17DD3324" w14:textId="77777777" w:rsidR="00211D5C" w:rsidRDefault="00211D5C" w:rsidP="00211D5C">
      <w:pPr>
        <w:ind w:right="360"/>
        <w:rPr>
          <w:rFonts w:ascii="Avenir" w:eastAsia="Avenir" w:hAnsi="Avenir" w:cs="Avenir"/>
          <w:color w:val="999999"/>
          <w:sz w:val="16"/>
          <w:szCs w:val="16"/>
        </w:rPr>
      </w:pPr>
      <w:r>
        <w:rPr>
          <w:rFonts w:ascii="Avenir" w:eastAsia="Avenir" w:hAnsi="Avenir" w:cs="Avenir"/>
          <w:color w:val="999999"/>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1BFFAE2B" w14:textId="77777777" w:rsidR="00211D5C" w:rsidRDefault="00211D5C" w:rsidP="00211D5C">
      <w:pPr>
        <w:ind w:right="360"/>
        <w:rPr>
          <w:rFonts w:ascii="Avenir" w:eastAsia="Avenir" w:hAnsi="Avenir" w:cs="Avenir"/>
          <w:color w:val="999999"/>
          <w:sz w:val="16"/>
          <w:szCs w:val="16"/>
        </w:rPr>
      </w:pPr>
    </w:p>
    <w:p w14:paraId="3AC9630A" w14:textId="77777777" w:rsidR="00211D5C" w:rsidRDefault="00211D5C" w:rsidP="00211D5C">
      <w:pPr>
        <w:ind w:right="360"/>
        <w:rPr>
          <w:rFonts w:ascii="Avenir" w:eastAsia="Avenir" w:hAnsi="Avenir" w:cs="Avenir"/>
        </w:rPr>
      </w:pPr>
      <w:r>
        <w:rPr>
          <w:rFonts w:ascii="Avenir" w:eastAsia="Avenir" w:hAnsi="Avenir" w:cs="Avenir"/>
          <w:color w:val="999999"/>
          <w:sz w:val="16"/>
          <w:szCs w:val="16"/>
        </w:rPr>
        <w:lastRenderedPageBreak/>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21345FF8" w14:textId="77777777" w:rsidR="00545D21" w:rsidRPr="004D480C" w:rsidRDefault="00545D21" w:rsidP="00BF0243">
      <w:pPr>
        <w:widowControl/>
        <w:rPr>
          <w:rFonts w:cstheme="minorHAnsi"/>
          <w:color w:val="58595B"/>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648F8FA4" w14:textId="77777777" w:rsidR="00FC7BD6" w:rsidRPr="004D480C" w:rsidRDefault="00FC7BD6" w:rsidP="00BF0243">
      <w:pPr>
        <w:widowControl/>
        <w:rPr>
          <w:rFonts w:cstheme="minorHAnsi"/>
          <w:color w:val="58595B"/>
          <w:sz w:val="16"/>
          <w:szCs w:val="16"/>
        </w:rPr>
      </w:pPr>
    </w:p>
    <w:p w14:paraId="2A78202A" w14:textId="77777777" w:rsidR="00FC7BD6" w:rsidRPr="004D480C" w:rsidRDefault="00FC7BD6" w:rsidP="00BF0243">
      <w:pPr>
        <w:widowControl/>
        <w:rPr>
          <w:rFonts w:cstheme="minorHAnsi"/>
          <w:color w:val="58595B"/>
          <w:sz w:val="16"/>
          <w:szCs w:val="16"/>
        </w:rPr>
      </w:pPr>
    </w:p>
    <w:p w14:paraId="2B275ECC" w14:textId="77777777" w:rsidR="00FC7BD6" w:rsidRPr="004D480C" w:rsidRDefault="00FC7BD6" w:rsidP="00BF0243">
      <w:pPr>
        <w:widowControl/>
        <w:rPr>
          <w:rFonts w:cstheme="minorHAnsi"/>
          <w:color w:val="58595B"/>
          <w:sz w:val="16"/>
          <w:szCs w:val="16"/>
        </w:rPr>
      </w:pPr>
    </w:p>
    <w:p w14:paraId="7E61BD61" w14:textId="77777777" w:rsidR="00FC7BD6" w:rsidRPr="004D480C" w:rsidRDefault="00FC7BD6" w:rsidP="00BF0243">
      <w:pPr>
        <w:widowControl/>
        <w:rPr>
          <w:rFonts w:cstheme="minorHAnsi"/>
          <w:color w:val="58595B"/>
          <w:sz w:val="16"/>
          <w:szCs w:val="16"/>
        </w:rPr>
      </w:pPr>
    </w:p>
    <w:p w14:paraId="70816D62" w14:textId="77777777" w:rsidR="00FC7BD6" w:rsidRPr="004D480C" w:rsidRDefault="00FC7BD6" w:rsidP="00BF0243">
      <w:pPr>
        <w:widowControl/>
        <w:rPr>
          <w:rFonts w:cstheme="minorHAnsi"/>
          <w:color w:val="58595B"/>
          <w:sz w:val="16"/>
          <w:szCs w:val="16"/>
        </w:rPr>
      </w:pPr>
    </w:p>
    <w:p w14:paraId="3CD314AF" w14:textId="77777777" w:rsidR="00750961" w:rsidRPr="004D480C" w:rsidRDefault="00750961" w:rsidP="00BF0243">
      <w:pPr>
        <w:widowControl/>
        <w:rPr>
          <w:rFonts w:cstheme="minorHAnsi"/>
          <w:color w:val="58595B"/>
          <w:sz w:val="16"/>
          <w:szCs w:val="16"/>
        </w:rPr>
      </w:pPr>
    </w:p>
    <w:p w14:paraId="4515D7EB" w14:textId="77777777" w:rsidR="00750961" w:rsidRPr="004D480C" w:rsidRDefault="00750961" w:rsidP="00BF0243">
      <w:pPr>
        <w:widowControl/>
        <w:rPr>
          <w:rFonts w:cstheme="minorHAnsi"/>
          <w:color w:val="58595B"/>
          <w:sz w:val="16"/>
          <w:szCs w:val="16"/>
        </w:rPr>
      </w:pPr>
    </w:p>
    <w:p w14:paraId="63F210CC" w14:textId="77777777" w:rsidR="00750961" w:rsidRPr="004D480C" w:rsidRDefault="00750961" w:rsidP="00BF0243">
      <w:pPr>
        <w:widowControl/>
        <w:rPr>
          <w:rFonts w:cstheme="minorHAnsi"/>
          <w:color w:val="58595B"/>
          <w:sz w:val="16"/>
          <w:szCs w:val="16"/>
        </w:rPr>
      </w:pPr>
    </w:p>
    <w:p w14:paraId="0DE2467C" w14:textId="77777777" w:rsidR="00750961" w:rsidRPr="004D480C" w:rsidRDefault="00750961" w:rsidP="00BF0243">
      <w:pPr>
        <w:widowControl/>
        <w:rPr>
          <w:rFonts w:cstheme="minorHAnsi"/>
          <w:color w:val="58595B"/>
          <w:sz w:val="16"/>
          <w:szCs w:val="16"/>
        </w:rPr>
      </w:pPr>
    </w:p>
    <w:p w14:paraId="46C49887" w14:textId="77777777" w:rsidR="00750961" w:rsidRPr="004D480C" w:rsidRDefault="00750961" w:rsidP="00BF0243">
      <w:pPr>
        <w:widowControl/>
        <w:rPr>
          <w:rFonts w:cstheme="minorHAnsi"/>
          <w:color w:val="58595B"/>
          <w:sz w:val="16"/>
          <w:szCs w:val="16"/>
        </w:rPr>
      </w:pPr>
    </w:p>
    <w:p w14:paraId="7A489C95" w14:textId="77777777" w:rsidR="00750961" w:rsidRPr="004D480C" w:rsidRDefault="00750961" w:rsidP="00BF0243">
      <w:pPr>
        <w:widowControl/>
        <w:rPr>
          <w:rFonts w:cstheme="minorHAnsi"/>
          <w:color w:val="58595B"/>
          <w:sz w:val="16"/>
          <w:szCs w:val="16"/>
        </w:rPr>
      </w:pPr>
    </w:p>
    <w:p w14:paraId="375091BB" w14:textId="77777777" w:rsidR="00750961" w:rsidRPr="004D480C" w:rsidRDefault="00750961" w:rsidP="00BF0243">
      <w:pPr>
        <w:widowControl/>
        <w:rPr>
          <w:rFonts w:cstheme="minorHAnsi"/>
          <w:color w:val="58595B"/>
          <w:sz w:val="16"/>
          <w:szCs w:val="16"/>
        </w:rPr>
      </w:pPr>
    </w:p>
    <w:p w14:paraId="20F98A49" w14:textId="77777777" w:rsidR="00750961" w:rsidRPr="004D480C" w:rsidRDefault="00750961" w:rsidP="00BF0243">
      <w:pPr>
        <w:widowControl/>
        <w:rPr>
          <w:rFonts w:cstheme="minorHAnsi"/>
          <w:color w:val="58595B"/>
          <w:sz w:val="16"/>
          <w:szCs w:val="16"/>
        </w:rPr>
      </w:pPr>
    </w:p>
    <w:p w14:paraId="0EA74150" w14:textId="77777777" w:rsidR="00750961" w:rsidRPr="004D480C" w:rsidRDefault="00750961" w:rsidP="00BF0243">
      <w:pPr>
        <w:widowControl/>
        <w:rPr>
          <w:rFonts w:cstheme="minorHAnsi"/>
          <w:color w:val="58595B"/>
          <w:sz w:val="16"/>
          <w:szCs w:val="16"/>
        </w:rPr>
      </w:pPr>
    </w:p>
    <w:p w14:paraId="1B42F962" w14:textId="77777777" w:rsidR="00750961" w:rsidRPr="004D480C" w:rsidRDefault="00750961" w:rsidP="00BF0243">
      <w:pPr>
        <w:widowControl/>
        <w:rPr>
          <w:rFonts w:cstheme="minorHAnsi"/>
          <w:color w:val="58595B"/>
          <w:sz w:val="16"/>
          <w:szCs w:val="16"/>
        </w:rPr>
      </w:pPr>
    </w:p>
    <w:p w14:paraId="2475B092" w14:textId="77777777" w:rsidR="00750961" w:rsidRPr="004D480C" w:rsidRDefault="00750961" w:rsidP="00BF0243">
      <w:pPr>
        <w:widowControl/>
        <w:rPr>
          <w:rFonts w:cstheme="minorHAnsi"/>
          <w:color w:val="58595B"/>
          <w:sz w:val="16"/>
          <w:szCs w:val="16"/>
        </w:rPr>
      </w:pPr>
    </w:p>
    <w:p w14:paraId="6DE277E5" w14:textId="77777777" w:rsidR="00750961" w:rsidRDefault="00750961" w:rsidP="00BF0243">
      <w:pPr>
        <w:widowControl/>
        <w:rPr>
          <w:rFonts w:cstheme="minorHAnsi"/>
          <w:color w:val="58595B"/>
          <w:sz w:val="16"/>
          <w:szCs w:val="16"/>
        </w:rPr>
      </w:pPr>
    </w:p>
    <w:p w14:paraId="27317380" w14:textId="77777777" w:rsidR="00211D5C" w:rsidRDefault="00211D5C" w:rsidP="00BF0243">
      <w:pPr>
        <w:widowControl/>
        <w:rPr>
          <w:rFonts w:cstheme="minorHAnsi"/>
          <w:color w:val="58595B"/>
          <w:sz w:val="16"/>
          <w:szCs w:val="16"/>
        </w:rPr>
      </w:pPr>
    </w:p>
    <w:p w14:paraId="47BEBB48" w14:textId="77777777" w:rsidR="00211D5C" w:rsidRDefault="00211D5C" w:rsidP="00BF0243">
      <w:pPr>
        <w:widowControl/>
        <w:rPr>
          <w:rFonts w:cstheme="minorHAnsi"/>
          <w:color w:val="58595B"/>
          <w:sz w:val="16"/>
          <w:szCs w:val="16"/>
        </w:rPr>
      </w:pPr>
    </w:p>
    <w:p w14:paraId="20ED39BD" w14:textId="77777777" w:rsidR="00211D5C" w:rsidRDefault="00211D5C" w:rsidP="00BF0243">
      <w:pPr>
        <w:widowControl/>
        <w:rPr>
          <w:rFonts w:cstheme="minorHAnsi"/>
          <w:color w:val="58595B"/>
          <w:sz w:val="16"/>
          <w:szCs w:val="16"/>
        </w:rPr>
      </w:pPr>
    </w:p>
    <w:p w14:paraId="1786D91C" w14:textId="77777777" w:rsidR="00211D5C" w:rsidRDefault="00211D5C" w:rsidP="00BF0243">
      <w:pPr>
        <w:widowControl/>
        <w:rPr>
          <w:rFonts w:cstheme="minorHAnsi"/>
          <w:color w:val="58595B"/>
          <w:sz w:val="16"/>
          <w:szCs w:val="16"/>
        </w:rPr>
      </w:pPr>
    </w:p>
    <w:p w14:paraId="6175F74D" w14:textId="77777777" w:rsidR="00211D5C" w:rsidRDefault="00211D5C" w:rsidP="00BF0243">
      <w:pPr>
        <w:widowControl/>
        <w:rPr>
          <w:rFonts w:cstheme="minorHAnsi"/>
          <w:color w:val="58595B"/>
          <w:sz w:val="16"/>
          <w:szCs w:val="16"/>
        </w:rPr>
      </w:pPr>
    </w:p>
    <w:p w14:paraId="7A5A44B6" w14:textId="77777777" w:rsidR="00211D5C" w:rsidRDefault="00211D5C" w:rsidP="00BF0243">
      <w:pPr>
        <w:widowControl/>
        <w:rPr>
          <w:rFonts w:cstheme="minorHAnsi"/>
          <w:color w:val="58595B"/>
          <w:sz w:val="16"/>
          <w:szCs w:val="16"/>
        </w:rPr>
      </w:pPr>
    </w:p>
    <w:p w14:paraId="621B4597" w14:textId="77777777" w:rsidR="00211D5C" w:rsidRDefault="00211D5C" w:rsidP="00BF0243">
      <w:pPr>
        <w:widowControl/>
        <w:rPr>
          <w:rFonts w:cstheme="minorHAnsi"/>
          <w:color w:val="58595B"/>
          <w:sz w:val="16"/>
          <w:szCs w:val="16"/>
        </w:rPr>
      </w:pPr>
    </w:p>
    <w:p w14:paraId="40B675E5" w14:textId="77777777" w:rsidR="00211D5C" w:rsidRPr="004D480C" w:rsidRDefault="00211D5C" w:rsidP="00BF0243">
      <w:pPr>
        <w:widowControl/>
        <w:rPr>
          <w:rFonts w:cstheme="minorHAnsi"/>
          <w:color w:val="58595B"/>
          <w:sz w:val="16"/>
          <w:szCs w:val="16"/>
        </w:rPr>
      </w:pPr>
    </w:p>
    <w:p w14:paraId="2DA24F34" w14:textId="77777777" w:rsidR="00462D29" w:rsidRDefault="00462D29" w:rsidP="00BF0243">
      <w:pPr>
        <w:widowControl/>
        <w:rPr>
          <w:rFonts w:cstheme="minorHAnsi"/>
          <w:color w:val="58595B"/>
          <w:sz w:val="16"/>
          <w:szCs w:val="16"/>
        </w:rPr>
      </w:pPr>
    </w:p>
    <w:p w14:paraId="19B0EA63" w14:textId="77777777" w:rsidR="004B5874" w:rsidRPr="004D480C" w:rsidRDefault="004B5874"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5A6743D5"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w:t>
      </w:r>
      <w:r w:rsidR="00970261">
        <w:rPr>
          <w:rFonts w:cstheme="minorHAnsi"/>
          <w:color w:val="58595B"/>
          <w:sz w:val="16"/>
          <w:szCs w:val="16"/>
        </w:rPr>
        <w:t>,</w:t>
      </w:r>
      <w:r w:rsidR="00E249E2" w:rsidRPr="00C03AB7">
        <w:rPr>
          <w:rFonts w:cstheme="minorHAnsi"/>
          <w:color w:val="58595B"/>
          <w:sz w:val="16"/>
          <w:szCs w:val="16"/>
        </w:rPr>
        <w:t xml:space="preserve"> Wealthcare Advisory Partners LLC</w:t>
      </w:r>
      <w:r w:rsidR="00970261">
        <w:rPr>
          <w:rFonts w:cstheme="minorHAnsi"/>
          <w:color w:val="58595B"/>
          <w:sz w:val="16"/>
          <w:szCs w:val="16"/>
        </w:rPr>
        <w:t xml:space="preserve">, and Wealthcare </w:t>
      </w:r>
      <w:r w:rsidR="00462D29">
        <w:rPr>
          <w:rFonts w:cstheme="minorHAnsi"/>
          <w:color w:val="58595B"/>
          <w:sz w:val="16"/>
          <w:szCs w:val="16"/>
        </w:rPr>
        <w:t>Capital Partners LLC</w:t>
      </w:r>
      <w:r w:rsidR="00E249E2" w:rsidRPr="00C03AB7">
        <w:rPr>
          <w:rFonts w:cstheme="minorHAnsi"/>
          <w:color w:val="58595B"/>
          <w:sz w:val="16"/>
          <w:szCs w:val="16"/>
        </w:rPr>
        <w:t xml:space="preserve">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4F495F96">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7"/>
      <w:headerReference w:type="default" r:id="rId28"/>
      <w:footerReference w:type="default" r:id="rId29"/>
      <w:headerReference w:type="first" r:id="rId30"/>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A6770" w14:textId="77777777" w:rsidR="006967BB" w:rsidRDefault="006967BB">
      <w:r>
        <w:separator/>
      </w:r>
    </w:p>
  </w:endnote>
  <w:endnote w:type="continuationSeparator" w:id="0">
    <w:p w14:paraId="2485C28E" w14:textId="77777777" w:rsidR="006967BB" w:rsidRDefault="006967BB">
      <w:r>
        <w:continuationSeparator/>
      </w:r>
    </w:p>
  </w:endnote>
  <w:endnote w:type="continuationNotice" w:id="1">
    <w:p w14:paraId="32551A05" w14:textId="77777777" w:rsidR="006967BB" w:rsidRDefault="00696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F313D" w14:textId="77777777" w:rsidR="006967BB" w:rsidRDefault="006967BB">
      <w:r>
        <w:separator/>
      </w:r>
    </w:p>
  </w:footnote>
  <w:footnote w:type="continuationSeparator" w:id="0">
    <w:p w14:paraId="1BB24A27" w14:textId="77777777" w:rsidR="006967BB" w:rsidRDefault="006967BB">
      <w:r>
        <w:continuationSeparator/>
      </w:r>
    </w:p>
  </w:footnote>
  <w:footnote w:type="continuationNotice" w:id="1">
    <w:p w14:paraId="47FF7AA8" w14:textId="77777777" w:rsidR="006967BB" w:rsidRDefault="00696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awFAJyVq/ktAAAA"/>
  </w:docVars>
  <w:rsids>
    <w:rsidRoot w:val="00310271"/>
    <w:rsid w:val="000036B2"/>
    <w:rsid w:val="000071F9"/>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B3FB0"/>
    <w:rsid w:val="000C1420"/>
    <w:rsid w:val="000C2111"/>
    <w:rsid w:val="000C4725"/>
    <w:rsid w:val="000C77BD"/>
    <w:rsid w:val="000D2FFB"/>
    <w:rsid w:val="000D3EB7"/>
    <w:rsid w:val="000E6258"/>
    <w:rsid w:val="000E6D97"/>
    <w:rsid w:val="000F3D40"/>
    <w:rsid w:val="000F7EFA"/>
    <w:rsid w:val="0010115C"/>
    <w:rsid w:val="001014AE"/>
    <w:rsid w:val="00105280"/>
    <w:rsid w:val="00105411"/>
    <w:rsid w:val="00113BE6"/>
    <w:rsid w:val="0011558E"/>
    <w:rsid w:val="00116740"/>
    <w:rsid w:val="00120010"/>
    <w:rsid w:val="001217A4"/>
    <w:rsid w:val="0012269E"/>
    <w:rsid w:val="00123D97"/>
    <w:rsid w:val="00132058"/>
    <w:rsid w:val="001320EA"/>
    <w:rsid w:val="00133F7F"/>
    <w:rsid w:val="00140E81"/>
    <w:rsid w:val="00141D14"/>
    <w:rsid w:val="001470E4"/>
    <w:rsid w:val="001532A5"/>
    <w:rsid w:val="001534A4"/>
    <w:rsid w:val="001537A4"/>
    <w:rsid w:val="00153F4A"/>
    <w:rsid w:val="00161B54"/>
    <w:rsid w:val="00162118"/>
    <w:rsid w:val="0017091A"/>
    <w:rsid w:val="0017149B"/>
    <w:rsid w:val="001744D6"/>
    <w:rsid w:val="0018292B"/>
    <w:rsid w:val="00183C38"/>
    <w:rsid w:val="00187E21"/>
    <w:rsid w:val="001929E9"/>
    <w:rsid w:val="00194883"/>
    <w:rsid w:val="001A407F"/>
    <w:rsid w:val="001A5AE0"/>
    <w:rsid w:val="001C0EE6"/>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4D23"/>
    <w:rsid w:val="00240EE6"/>
    <w:rsid w:val="002425A4"/>
    <w:rsid w:val="00245C49"/>
    <w:rsid w:val="0024623E"/>
    <w:rsid w:val="00247F2D"/>
    <w:rsid w:val="00252CCC"/>
    <w:rsid w:val="00256B28"/>
    <w:rsid w:val="002640B5"/>
    <w:rsid w:val="00271D59"/>
    <w:rsid w:val="00274EA9"/>
    <w:rsid w:val="00276A7C"/>
    <w:rsid w:val="00286212"/>
    <w:rsid w:val="0029529F"/>
    <w:rsid w:val="002A38CA"/>
    <w:rsid w:val="002B07E7"/>
    <w:rsid w:val="002B2F91"/>
    <w:rsid w:val="002B3E10"/>
    <w:rsid w:val="002C01C4"/>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44B8"/>
    <w:rsid w:val="003B6D62"/>
    <w:rsid w:val="003B727B"/>
    <w:rsid w:val="003B730E"/>
    <w:rsid w:val="003B7896"/>
    <w:rsid w:val="003C0245"/>
    <w:rsid w:val="003C70C1"/>
    <w:rsid w:val="003C7B91"/>
    <w:rsid w:val="003D725D"/>
    <w:rsid w:val="003E2206"/>
    <w:rsid w:val="003E43C9"/>
    <w:rsid w:val="003E63FE"/>
    <w:rsid w:val="003F0914"/>
    <w:rsid w:val="00400BA3"/>
    <w:rsid w:val="00400BB9"/>
    <w:rsid w:val="00401EB9"/>
    <w:rsid w:val="00420166"/>
    <w:rsid w:val="004235CF"/>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5874"/>
    <w:rsid w:val="004B7F15"/>
    <w:rsid w:val="004C00AC"/>
    <w:rsid w:val="004C0269"/>
    <w:rsid w:val="004D480C"/>
    <w:rsid w:val="004D528B"/>
    <w:rsid w:val="004D7659"/>
    <w:rsid w:val="004E2D55"/>
    <w:rsid w:val="004E2DF5"/>
    <w:rsid w:val="004E43EA"/>
    <w:rsid w:val="004F22CF"/>
    <w:rsid w:val="004F6419"/>
    <w:rsid w:val="004F6634"/>
    <w:rsid w:val="004F7BE0"/>
    <w:rsid w:val="00504E65"/>
    <w:rsid w:val="00512247"/>
    <w:rsid w:val="00513DD7"/>
    <w:rsid w:val="0052007B"/>
    <w:rsid w:val="00522EA8"/>
    <w:rsid w:val="0052404F"/>
    <w:rsid w:val="0052429D"/>
    <w:rsid w:val="00524C3C"/>
    <w:rsid w:val="00545C4C"/>
    <w:rsid w:val="00545D21"/>
    <w:rsid w:val="0054686C"/>
    <w:rsid w:val="00546F98"/>
    <w:rsid w:val="005473D5"/>
    <w:rsid w:val="00552197"/>
    <w:rsid w:val="005537A6"/>
    <w:rsid w:val="005544FD"/>
    <w:rsid w:val="00555404"/>
    <w:rsid w:val="00556280"/>
    <w:rsid w:val="005625F5"/>
    <w:rsid w:val="00562D7C"/>
    <w:rsid w:val="00570973"/>
    <w:rsid w:val="0057380B"/>
    <w:rsid w:val="00584BAA"/>
    <w:rsid w:val="00593C4C"/>
    <w:rsid w:val="005971D3"/>
    <w:rsid w:val="00597589"/>
    <w:rsid w:val="005A25DD"/>
    <w:rsid w:val="005A2D15"/>
    <w:rsid w:val="005A503A"/>
    <w:rsid w:val="005B0F37"/>
    <w:rsid w:val="005B2B32"/>
    <w:rsid w:val="005B6E90"/>
    <w:rsid w:val="005C015E"/>
    <w:rsid w:val="005C0F5A"/>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55E9"/>
    <w:rsid w:val="00656A11"/>
    <w:rsid w:val="00660116"/>
    <w:rsid w:val="0066125D"/>
    <w:rsid w:val="00661EC6"/>
    <w:rsid w:val="00666482"/>
    <w:rsid w:val="00681E99"/>
    <w:rsid w:val="0068201F"/>
    <w:rsid w:val="00682DD2"/>
    <w:rsid w:val="00686641"/>
    <w:rsid w:val="006918CC"/>
    <w:rsid w:val="0069522A"/>
    <w:rsid w:val="00695F42"/>
    <w:rsid w:val="006967BB"/>
    <w:rsid w:val="006B76C3"/>
    <w:rsid w:val="006D0717"/>
    <w:rsid w:val="006D3705"/>
    <w:rsid w:val="006E1C96"/>
    <w:rsid w:val="006E51E1"/>
    <w:rsid w:val="006E5CA8"/>
    <w:rsid w:val="006F28A9"/>
    <w:rsid w:val="006F3418"/>
    <w:rsid w:val="006F7759"/>
    <w:rsid w:val="00701959"/>
    <w:rsid w:val="007024E7"/>
    <w:rsid w:val="00703612"/>
    <w:rsid w:val="00703E18"/>
    <w:rsid w:val="00703E54"/>
    <w:rsid w:val="007043AD"/>
    <w:rsid w:val="00705DD5"/>
    <w:rsid w:val="007134F0"/>
    <w:rsid w:val="00714486"/>
    <w:rsid w:val="007156EF"/>
    <w:rsid w:val="007171FE"/>
    <w:rsid w:val="00717379"/>
    <w:rsid w:val="00717514"/>
    <w:rsid w:val="007178A5"/>
    <w:rsid w:val="00721D5E"/>
    <w:rsid w:val="00723E52"/>
    <w:rsid w:val="00726E85"/>
    <w:rsid w:val="00731AF3"/>
    <w:rsid w:val="00740AC7"/>
    <w:rsid w:val="007412E9"/>
    <w:rsid w:val="007500D2"/>
    <w:rsid w:val="00750961"/>
    <w:rsid w:val="00750FD6"/>
    <w:rsid w:val="0075254C"/>
    <w:rsid w:val="007537D7"/>
    <w:rsid w:val="00755010"/>
    <w:rsid w:val="007623A0"/>
    <w:rsid w:val="00762F64"/>
    <w:rsid w:val="007638EA"/>
    <w:rsid w:val="00763EF4"/>
    <w:rsid w:val="0076475E"/>
    <w:rsid w:val="00764BD1"/>
    <w:rsid w:val="007677EC"/>
    <w:rsid w:val="00770A5E"/>
    <w:rsid w:val="00776123"/>
    <w:rsid w:val="00790D86"/>
    <w:rsid w:val="007919DD"/>
    <w:rsid w:val="007924FF"/>
    <w:rsid w:val="00794E3F"/>
    <w:rsid w:val="007A0312"/>
    <w:rsid w:val="007A0DA1"/>
    <w:rsid w:val="007A3EC8"/>
    <w:rsid w:val="007A52F8"/>
    <w:rsid w:val="007A6DBD"/>
    <w:rsid w:val="007B5170"/>
    <w:rsid w:val="007B59A5"/>
    <w:rsid w:val="007B7745"/>
    <w:rsid w:val="007C0D49"/>
    <w:rsid w:val="007C2D9B"/>
    <w:rsid w:val="007C344D"/>
    <w:rsid w:val="007C4B80"/>
    <w:rsid w:val="007C7524"/>
    <w:rsid w:val="007D450B"/>
    <w:rsid w:val="007D5645"/>
    <w:rsid w:val="007E1511"/>
    <w:rsid w:val="007E4E13"/>
    <w:rsid w:val="007E55DD"/>
    <w:rsid w:val="007F10EF"/>
    <w:rsid w:val="007F669A"/>
    <w:rsid w:val="007F7717"/>
    <w:rsid w:val="0080555E"/>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35C8"/>
    <w:rsid w:val="008D5D78"/>
    <w:rsid w:val="008D741D"/>
    <w:rsid w:val="008E01C4"/>
    <w:rsid w:val="008E5DE9"/>
    <w:rsid w:val="008F12F3"/>
    <w:rsid w:val="0090011F"/>
    <w:rsid w:val="009015F6"/>
    <w:rsid w:val="00907CEA"/>
    <w:rsid w:val="009110A4"/>
    <w:rsid w:val="00914AFF"/>
    <w:rsid w:val="009176C8"/>
    <w:rsid w:val="009200A3"/>
    <w:rsid w:val="00920389"/>
    <w:rsid w:val="009227B3"/>
    <w:rsid w:val="00922E9D"/>
    <w:rsid w:val="00923A8D"/>
    <w:rsid w:val="009329CD"/>
    <w:rsid w:val="0094135E"/>
    <w:rsid w:val="00941B78"/>
    <w:rsid w:val="009421C4"/>
    <w:rsid w:val="0094730E"/>
    <w:rsid w:val="00950001"/>
    <w:rsid w:val="00951B43"/>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4F1D"/>
    <w:rsid w:val="009F70BD"/>
    <w:rsid w:val="00A00DE7"/>
    <w:rsid w:val="00A049E2"/>
    <w:rsid w:val="00A04C54"/>
    <w:rsid w:val="00A05DEE"/>
    <w:rsid w:val="00A11F92"/>
    <w:rsid w:val="00A22F75"/>
    <w:rsid w:val="00A26AC3"/>
    <w:rsid w:val="00A31B84"/>
    <w:rsid w:val="00A3398B"/>
    <w:rsid w:val="00A37CFE"/>
    <w:rsid w:val="00A40946"/>
    <w:rsid w:val="00A621BC"/>
    <w:rsid w:val="00A65456"/>
    <w:rsid w:val="00A763E7"/>
    <w:rsid w:val="00A77876"/>
    <w:rsid w:val="00A81377"/>
    <w:rsid w:val="00A87A54"/>
    <w:rsid w:val="00A90736"/>
    <w:rsid w:val="00A93393"/>
    <w:rsid w:val="00AA02F6"/>
    <w:rsid w:val="00AA0D57"/>
    <w:rsid w:val="00AB025D"/>
    <w:rsid w:val="00AB1444"/>
    <w:rsid w:val="00AC246F"/>
    <w:rsid w:val="00AC6240"/>
    <w:rsid w:val="00AC7DFF"/>
    <w:rsid w:val="00AD0F1D"/>
    <w:rsid w:val="00AD571B"/>
    <w:rsid w:val="00AD5B9F"/>
    <w:rsid w:val="00AD6482"/>
    <w:rsid w:val="00AE4730"/>
    <w:rsid w:val="00AE5933"/>
    <w:rsid w:val="00AF6165"/>
    <w:rsid w:val="00AF73E9"/>
    <w:rsid w:val="00B008BF"/>
    <w:rsid w:val="00B010F5"/>
    <w:rsid w:val="00B04E79"/>
    <w:rsid w:val="00B1237F"/>
    <w:rsid w:val="00B14A3F"/>
    <w:rsid w:val="00B23CB8"/>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4A02"/>
    <w:rsid w:val="00B85C98"/>
    <w:rsid w:val="00B90DA6"/>
    <w:rsid w:val="00B92EE8"/>
    <w:rsid w:val="00B97AFD"/>
    <w:rsid w:val="00BA0C70"/>
    <w:rsid w:val="00BA2CC6"/>
    <w:rsid w:val="00BA2D41"/>
    <w:rsid w:val="00BA3AC9"/>
    <w:rsid w:val="00BA4143"/>
    <w:rsid w:val="00BA5B1A"/>
    <w:rsid w:val="00BB219B"/>
    <w:rsid w:val="00BB5458"/>
    <w:rsid w:val="00BB7912"/>
    <w:rsid w:val="00BC19BA"/>
    <w:rsid w:val="00BC1CC0"/>
    <w:rsid w:val="00BC2C82"/>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10313"/>
    <w:rsid w:val="00C1181C"/>
    <w:rsid w:val="00C1403A"/>
    <w:rsid w:val="00C14B5D"/>
    <w:rsid w:val="00C16713"/>
    <w:rsid w:val="00C1768F"/>
    <w:rsid w:val="00C20D43"/>
    <w:rsid w:val="00C219B7"/>
    <w:rsid w:val="00C22E7D"/>
    <w:rsid w:val="00C22F31"/>
    <w:rsid w:val="00C23A23"/>
    <w:rsid w:val="00C24E4A"/>
    <w:rsid w:val="00C309DD"/>
    <w:rsid w:val="00C338CD"/>
    <w:rsid w:val="00C3645F"/>
    <w:rsid w:val="00C36DFD"/>
    <w:rsid w:val="00C437FE"/>
    <w:rsid w:val="00C46828"/>
    <w:rsid w:val="00C519BC"/>
    <w:rsid w:val="00C54BED"/>
    <w:rsid w:val="00C54DD1"/>
    <w:rsid w:val="00C570E1"/>
    <w:rsid w:val="00C604AF"/>
    <w:rsid w:val="00C64E73"/>
    <w:rsid w:val="00C66249"/>
    <w:rsid w:val="00C71857"/>
    <w:rsid w:val="00C77191"/>
    <w:rsid w:val="00C81BA7"/>
    <w:rsid w:val="00C85FF6"/>
    <w:rsid w:val="00C87564"/>
    <w:rsid w:val="00CA10C2"/>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F115D"/>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3D28"/>
    <w:rsid w:val="00E45703"/>
    <w:rsid w:val="00E463D4"/>
    <w:rsid w:val="00E50BC4"/>
    <w:rsid w:val="00E54EC0"/>
    <w:rsid w:val="00E73B5F"/>
    <w:rsid w:val="00E761F7"/>
    <w:rsid w:val="00E829DC"/>
    <w:rsid w:val="00E83506"/>
    <w:rsid w:val="00E85CF7"/>
    <w:rsid w:val="00E90502"/>
    <w:rsid w:val="00E91598"/>
    <w:rsid w:val="00E96DD1"/>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F3A04"/>
    <w:rsid w:val="00EF421D"/>
    <w:rsid w:val="00EF4FDE"/>
    <w:rsid w:val="00F12C03"/>
    <w:rsid w:val="00F201A1"/>
    <w:rsid w:val="00F20C2D"/>
    <w:rsid w:val="00F21AFE"/>
    <w:rsid w:val="00F236B2"/>
    <w:rsid w:val="00F25A3F"/>
    <w:rsid w:val="00F27917"/>
    <w:rsid w:val="00F3241A"/>
    <w:rsid w:val="00F33A78"/>
    <w:rsid w:val="00F33E81"/>
    <w:rsid w:val="00F43692"/>
    <w:rsid w:val="00F44D38"/>
    <w:rsid w:val="00F45C2C"/>
    <w:rsid w:val="00F4795C"/>
    <w:rsid w:val="00F50A50"/>
    <w:rsid w:val="00F50EB0"/>
    <w:rsid w:val="00F51344"/>
    <w:rsid w:val="00F54018"/>
    <w:rsid w:val="00F54DC8"/>
    <w:rsid w:val="00F56D0D"/>
    <w:rsid w:val="00F60324"/>
    <w:rsid w:val="00F61203"/>
    <w:rsid w:val="00F641A7"/>
    <w:rsid w:val="00F7205E"/>
    <w:rsid w:val="00F72A72"/>
    <w:rsid w:val="00F77085"/>
    <w:rsid w:val="00F8517C"/>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C7D0D"/>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nn.com/2024/08/01/investing/stocks-fall-economy-data/index.html"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federalreserve.gov/newsevents/pressreleases/monetary20240731a.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usatoday.com/story/money/personalfinance/2024/08/02/sp500-dow-nasdaq-down-july-jobs-report-recession/74650025007/"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ea.gov/news/2024/personal-income-and-outlays-june-202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nbc.com/2024/07/26/pce-inflation-june-2024-.htm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pnews.com/article/inflation-economy-federal-reserve-interest-rates-04d2877f47f3913acc2f992d8ef1581b" TargetMode="Externa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1348</Words>
  <Characters>6956</Characters>
  <Application>Microsoft Office Word</Application>
  <DocSecurity>0</DocSecurity>
  <Lines>147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16</cp:revision>
  <cp:lastPrinted>2024-08-07T20:08:00Z</cp:lastPrinted>
  <dcterms:created xsi:type="dcterms:W3CDTF">2024-07-02T13:52:00Z</dcterms:created>
  <dcterms:modified xsi:type="dcterms:W3CDTF">2024-08-07T20:13:00Z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