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3D90F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03049A06" w:rsidR="00310271" w:rsidRPr="004D480C" w:rsidRDefault="00CB424D" w:rsidP="00BF0243">
      <w:pPr>
        <w:ind w:left="720"/>
        <w:rPr>
          <w:rFonts w:eastAsia="Proxima Nova Light" w:cstheme="minorHAnsi"/>
          <w:color w:val="005EA4"/>
          <w:sz w:val="44"/>
          <w:szCs w:val="44"/>
        </w:rPr>
      </w:pPr>
      <w:r>
        <w:rPr>
          <w:rFonts w:eastAsia="Times New Roman" w:cstheme="minorHAnsi"/>
          <w:b/>
          <w:bCs/>
          <w:color w:val="005EA4"/>
          <w:sz w:val="44"/>
          <w:szCs w:val="44"/>
        </w:rPr>
        <w:t xml:space="preserve">November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B29CE8"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6FC9C27B" w14:textId="4B56AA39" w:rsidR="005C3A4D" w:rsidRPr="009E114D" w:rsidRDefault="005C3A4D" w:rsidP="005C3A4D">
      <w:pPr>
        <w:rPr>
          <w:color w:val="58595B"/>
        </w:rPr>
      </w:pPr>
      <w:r w:rsidRPr="009E114D">
        <w:rPr>
          <w:color w:val="58595B"/>
        </w:rPr>
        <w:t>The stock market reached new highs again in November as investors digested positive economic reports and an optimistic outlook on the markets following the presidential election. The Federal Reserve's (Fed) preferred inflation gauge edged up slightly in October, but many still anticipate a third consecutive rate cut in December. Consumer confidence posted its second consecutive positive report, buoyed by consumers' positive outlook on jobs. The housing market is also showing improvement as mortgage rates drop and inventories improve.</w:t>
      </w:r>
    </w:p>
    <w:p w14:paraId="7BABA9F4" w14:textId="48905F4B" w:rsidR="00962FF6" w:rsidRPr="001470E4" w:rsidRDefault="00521488" w:rsidP="00962FF6">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 xml:space="preserve">Stocks </w:t>
      </w:r>
      <w:r w:rsidR="005C3A4D">
        <w:rPr>
          <w:rFonts w:asciiTheme="minorHAnsi" w:eastAsia="Avenir" w:hAnsiTheme="minorHAnsi" w:cstheme="minorHAnsi"/>
          <w:color w:val="005EA4"/>
        </w:rPr>
        <w:t>Power Higher in November</w:t>
      </w:r>
    </w:p>
    <w:p w14:paraId="3EC6B47F" w14:textId="77777777" w:rsidR="00BA66B4" w:rsidRPr="009E114D" w:rsidRDefault="00BA66B4" w:rsidP="00BA66B4">
      <w:pPr>
        <w:rPr>
          <w:color w:val="58595B"/>
        </w:rPr>
      </w:pPr>
      <w:r w:rsidRPr="009E114D">
        <w:rPr>
          <w:color w:val="58595B"/>
        </w:rPr>
        <w:t>Stocks powered higher in November, with all the major indices reaching new highs. The popular Dow Jones Industrial Average® (DJIA) led the way, gaining 7.5% for the month, its largest monthly gain of 2024. The broad market S&amp;P 500® (SPX) recorded its highest monthly gain as well, rising 5.7% for the month. The tech-heavy NASDAQ Composite Index (COMP) finished strong during November as well, gaining 6.2%, its second largest monthly gain in 2024.</w:t>
      </w:r>
    </w:p>
    <w:p w14:paraId="08593276" w14:textId="77777777" w:rsidR="00BA66B4" w:rsidRPr="009E114D" w:rsidRDefault="00BA66B4" w:rsidP="00BA66B4">
      <w:pPr>
        <w:rPr>
          <w:color w:val="58595B"/>
        </w:rPr>
      </w:pPr>
    </w:p>
    <w:p w14:paraId="68074F6A" w14:textId="77777777" w:rsidR="00BA66B4" w:rsidRPr="009E114D" w:rsidRDefault="00BA66B4" w:rsidP="00BA66B4">
      <w:pPr>
        <w:rPr>
          <w:color w:val="58595B"/>
        </w:rPr>
      </w:pPr>
      <w:r w:rsidRPr="009E114D">
        <w:rPr>
          <w:color w:val="58595B"/>
        </w:rPr>
        <w:t>Stocks continue to benefit from a largely bullish outlook for the markets in general and stocks in particular following the presidential election. Investors are also heartened by the anticipation of more interest rate cuts from the Fed, which tend to support higher stock prices as investors seek higher returns from riskier investments. The markets also appear to be taking tariff talk with a grain of salt, seeing it more as a negotiating tool than a policy strategy.</w:t>
      </w:r>
    </w:p>
    <w:p w14:paraId="7685076C" w14:textId="77777777" w:rsidR="00442743" w:rsidRPr="001470E4" w:rsidRDefault="00442743" w:rsidP="00962FF6">
      <w:pPr>
        <w:ind w:right="360"/>
        <w:rPr>
          <w:rFonts w:eastAsia="Avenir" w:cstheme="minorHAnsi"/>
        </w:rPr>
      </w:pPr>
    </w:p>
    <w:p w14:paraId="0B4A2395" w14:textId="0B7C5290" w:rsidR="003B44B8" w:rsidRDefault="00EF1341" w:rsidP="000E6802">
      <w:pPr>
        <w:ind w:left="360"/>
        <w:jc w:val="center"/>
        <w:rPr>
          <w:rFonts w:ascii="Avenir" w:eastAsia="Avenir" w:hAnsi="Avenir" w:cs="Avenir"/>
        </w:rPr>
      </w:pPr>
      <w:r>
        <w:rPr>
          <w:noProof/>
        </w:rPr>
        <w:drawing>
          <wp:inline distT="0" distB="0" distL="0" distR="0" wp14:anchorId="3B781383" wp14:editId="101BB8E5">
            <wp:extent cx="5943600" cy="3257550"/>
            <wp:effectExtent l="19050" t="19050" r="19050" b="19050"/>
            <wp:docPr id="957849265"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49265" name="Picture 1" descr="A graph with blue lines&#10;&#10;Description automatically generated"/>
                    <pic:cNvPicPr>
                      <a:picLocks noChangeAspect="1"/>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257550"/>
                    </a:xfrm>
                    <a:prstGeom prst="rect">
                      <a:avLst/>
                    </a:prstGeom>
                    <a:ln>
                      <a:solidFill>
                        <a:schemeClr val="tx1">
                          <a:lumMod val="50000"/>
                          <a:lumOff val="50000"/>
                        </a:schemeClr>
                      </a:solidFill>
                    </a:ln>
                  </pic:spPr>
                </pic:pic>
              </a:graphicData>
            </a:graphic>
          </wp:inline>
        </w:drawing>
      </w:r>
    </w:p>
    <w:p w14:paraId="6E2499D9" w14:textId="73AA9703" w:rsidR="003B44B8" w:rsidRDefault="003B44B8" w:rsidP="003B44B8">
      <w:pPr>
        <w:ind w:left="360"/>
        <w:jc w:val="center"/>
        <w:rPr>
          <w:rFonts w:ascii="Avenir" w:eastAsia="Avenir" w:hAnsi="Avenir" w:cs="Avenir"/>
        </w:rPr>
      </w:pPr>
    </w:p>
    <w:p w14:paraId="3643C02E" w14:textId="21807F63" w:rsidR="003B44B8" w:rsidRDefault="003B44B8" w:rsidP="003B44B8">
      <w:pPr>
        <w:ind w:left="360"/>
        <w:jc w:val="center"/>
        <w:rPr>
          <w:rFonts w:ascii="Avenir" w:eastAsia="Avenir" w:hAnsi="Avenir" w:cs="Avenir"/>
          <w:color w:val="1155CC"/>
          <w:u w:val="single"/>
        </w:rPr>
      </w:pPr>
      <w:r>
        <w:rPr>
          <w:rFonts w:ascii="Avenir" w:eastAsia="Avenir" w:hAnsi="Avenir" w:cs="Avenir"/>
        </w:rPr>
        <w:t xml:space="preserve">Source: </w:t>
      </w:r>
      <w:hyperlink r:id="rId20">
        <w:r>
          <w:rPr>
            <w:rFonts w:ascii="Avenir" w:eastAsia="Avenir" w:hAnsi="Avenir" w:cs="Avenir"/>
            <w:color w:val="1155CC"/>
            <w:u w:val="single"/>
          </w:rPr>
          <w:t>Wall Street Journal</w:t>
        </w:r>
      </w:hyperlink>
    </w:p>
    <w:p w14:paraId="16D4BB9F" w14:textId="77777777" w:rsidR="004F6014" w:rsidRDefault="004F6014" w:rsidP="003B44B8">
      <w:pPr>
        <w:ind w:left="360"/>
        <w:jc w:val="center"/>
        <w:rPr>
          <w:rFonts w:ascii="Avenir" w:eastAsia="Avenir" w:hAnsi="Avenir" w:cs="Avenir"/>
        </w:rPr>
      </w:pPr>
    </w:p>
    <w:p w14:paraId="7879B08F" w14:textId="77777777" w:rsidR="00D75C33" w:rsidRPr="001470E4" w:rsidRDefault="00D75C33" w:rsidP="00714486">
      <w:pPr>
        <w:ind w:right="360"/>
        <w:jc w:val="center"/>
        <w:rPr>
          <w:rFonts w:eastAsia="Avenir" w:cstheme="minorHAnsi"/>
        </w:rPr>
      </w:pPr>
    </w:p>
    <w:p w14:paraId="723BD83B" w14:textId="30A58255" w:rsidR="0002356D" w:rsidRPr="0002356D" w:rsidRDefault="00EF1341" w:rsidP="0002356D">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Inflation Edges Higher</w:t>
      </w:r>
    </w:p>
    <w:p w14:paraId="28E30ABA" w14:textId="77777777" w:rsidR="001C2F89" w:rsidRPr="00C71FF6" w:rsidRDefault="001C2F89" w:rsidP="001C2F89">
      <w:pPr>
        <w:rPr>
          <w:color w:val="58595B"/>
        </w:rPr>
      </w:pPr>
      <w:r w:rsidRPr="00C71FF6">
        <w:rPr>
          <w:color w:val="58595B"/>
        </w:rPr>
        <w:t xml:space="preserve">Inflation edged up slightly in October, according to the latest report from the Bureau of Economic Analysis. The personal consumption expenditures price index (PCE) -- a broad measure of prices that the Fed prefers -- increased 0.2% in </w:t>
      </w:r>
      <w:r w:rsidRPr="00C71FF6">
        <w:rPr>
          <w:color w:val="58595B"/>
        </w:rPr>
        <w:lastRenderedPageBreak/>
        <w:t>October and 2.3% compared to a year ago. While the results were what analysts expected, October’s numbers weren't as encouraging as the 2.1% annual rate in September.</w:t>
      </w:r>
    </w:p>
    <w:p w14:paraId="37E5D96A" w14:textId="77777777" w:rsidR="001C2F89" w:rsidRPr="00C71FF6" w:rsidRDefault="001C2F89" w:rsidP="001C2F89">
      <w:pPr>
        <w:rPr>
          <w:color w:val="58595B"/>
        </w:rPr>
      </w:pPr>
    </w:p>
    <w:p w14:paraId="291F489B" w14:textId="77777777" w:rsidR="001C2F89" w:rsidRPr="00C71FF6" w:rsidRDefault="001C2F89" w:rsidP="001C2F89">
      <w:pPr>
        <w:rPr>
          <w:color w:val="58595B"/>
        </w:rPr>
      </w:pPr>
      <w:r w:rsidRPr="00C71FF6">
        <w:rPr>
          <w:color w:val="58595B"/>
        </w:rPr>
        <w:t>Excluding food and energy, so-called core inflation rose 0.3% in October and 2.8% compared to a year ago. While these numbers were also in line with expectations, the trend over the prior four months was to the upside, a potentially worrisome sight for the Fed. Prices for services were the main driver during the month, rising 0.4%. Prices for food were little changed, and energy was off 0.1%.</w:t>
      </w:r>
    </w:p>
    <w:p w14:paraId="3324C042" w14:textId="77777777" w:rsidR="001C2F89" w:rsidRPr="00C71FF6" w:rsidRDefault="001C2F89" w:rsidP="001C2F89">
      <w:pPr>
        <w:rPr>
          <w:color w:val="58595B"/>
        </w:rPr>
      </w:pPr>
    </w:p>
    <w:p w14:paraId="30311D47" w14:textId="77777777" w:rsidR="001C2F89" w:rsidRPr="00C71FF6" w:rsidRDefault="001C2F89" w:rsidP="001C2F89">
      <w:pPr>
        <w:rPr>
          <w:color w:val="58595B"/>
        </w:rPr>
      </w:pPr>
      <w:r w:rsidRPr="00C71FF6">
        <w:rPr>
          <w:color w:val="58595B"/>
        </w:rPr>
        <w:t>Inflation has been above the Fed’s target of 2% since March 2021 but has moderated in recent months. That’s prompted the central bank to reduce rates 0.75% during its meetings in September and November. Despite this latest less than stellar inflation report, traders are still betting that the Fed will lower rates again in December.</w:t>
      </w:r>
    </w:p>
    <w:p w14:paraId="673D04C2" w14:textId="77777777" w:rsidR="001C2F89" w:rsidRDefault="001C2F89" w:rsidP="001C2F89">
      <w:r w:rsidRPr="00C71FF6">
        <w:rPr>
          <w:color w:val="58595B"/>
        </w:rPr>
        <w:t>Inflation has hit consumers particularly hard, especially at the lower end of the wage scale. That fact figured prominently in the presidential election.</w:t>
      </w:r>
      <w:r>
        <w:t xml:space="preserve"> </w:t>
      </w:r>
      <w:hyperlink r:id="rId21" w:history="1">
        <w:r>
          <w:rPr>
            <w:rStyle w:val="Hyperlink"/>
          </w:rPr>
          <w:t>CNBC</w:t>
        </w:r>
      </w:hyperlink>
    </w:p>
    <w:p w14:paraId="0EFF3C1C" w14:textId="3197670A" w:rsidR="00E45703" w:rsidRPr="006555E9" w:rsidRDefault="00D15709" w:rsidP="00E45703">
      <w:pPr>
        <w:pStyle w:val="Heading2"/>
        <w:rPr>
          <w:rFonts w:asciiTheme="minorHAnsi" w:eastAsia="Avenir" w:hAnsiTheme="minorHAnsi" w:cstheme="minorHAnsi"/>
          <w:b w:val="0"/>
        </w:rPr>
      </w:pPr>
      <w:r>
        <w:rPr>
          <w:rFonts w:asciiTheme="minorHAnsi" w:eastAsia="Avenir" w:hAnsiTheme="minorHAnsi" w:cstheme="minorHAnsi"/>
        </w:rPr>
        <w:t xml:space="preserve">Consumer Confidence </w:t>
      </w:r>
      <w:r w:rsidR="001C2F89">
        <w:rPr>
          <w:rFonts w:asciiTheme="minorHAnsi" w:eastAsia="Avenir" w:hAnsiTheme="minorHAnsi" w:cstheme="minorHAnsi"/>
        </w:rPr>
        <w:t>Continues Improving</w:t>
      </w:r>
    </w:p>
    <w:p w14:paraId="7171108C" w14:textId="77777777" w:rsidR="00E82D3C" w:rsidRPr="00C71FF6" w:rsidRDefault="00E82D3C" w:rsidP="00E82D3C">
      <w:pPr>
        <w:rPr>
          <w:color w:val="58595B"/>
        </w:rPr>
      </w:pPr>
      <w:r w:rsidRPr="00C71FF6">
        <w:rPr>
          <w:color w:val="58595B"/>
        </w:rPr>
        <w:t xml:space="preserve">For the second month in a row, US consumers are feeling upbeat about the economic outlook. The Conference Board Consumer Confidence Index® increased to 111.7 in November, eclipsing the 109.6 reading in October and reaching its highest level in more than a year. </w:t>
      </w:r>
    </w:p>
    <w:p w14:paraId="6F123809" w14:textId="77777777" w:rsidR="00E82D3C" w:rsidRPr="00C71FF6" w:rsidRDefault="00E82D3C" w:rsidP="00E82D3C">
      <w:pPr>
        <w:rPr>
          <w:color w:val="58595B"/>
        </w:rPr>
      </w:pPr>
    </w:p>
    <w:p w14:paraId="1994CC0A" w14:textId="77777777" w:rsidR="00E82D3C" w:rsidRPr="00C71FF6" w:rsidRDefault="00E82D3C" w:rsidP="00E82D3C">
      <w:pPr>
        <w:rPr>
          <w:color w:val="58595B"/>
        </w:rPr>
      </w:pPr>
      <w:r w:rsidRPr="00C71FF6">
        <w:rPr>
          <w:color w:val="58595B"/>
        </w:rPr>
        <w:t>The expectations index -- which measures consumers’ outlook for business, income, and the labor market -- rose 0.4 points 92.3. That’s significantly above the key threshold of 80, which can signal a potential recession down the road. Driving the positive results in November were an upbeat assessment of the labor market and future job availability.</w:t>
      </w:r>
    </w:p>
    <w:p w14:paraId="7D5D1844" w14:textId="77777777" w:rsidR="00E82D3C" w:rsidRPr="00C71FF6" w:rsidRDefault="00E82D3C" w:rsidP="00E82D3C">
      <w:pPr>
        <w:rPr>
          <w:color w:val="58595B"/>
        </w:rPr>
      </w:pPr>
    </w:p>
    <w:p w14:paraId="7C6454CD" w14:textId="77777777" w:rsidR="00E82D3C" w:rsidRDefault="00E82D3C" w:rsidP="00E82D3C">
      <w:r w:rsidRPr="00C71FF6">
        <w:rPr>
          <w:color w:val="58595B"/>
        </w:rPr>
        <w:t>According to Dana Peterson, the Conference Board’s chief economist, "consumer confidence continued to improve in November and reached the top of the range that has prevailed over the past two years. November’s increase was mainly driven by more positive consumer assessments of the present situation, particularly regarding the labor market. Compared to October, consumers were also substantially more optimistic about future job availability, which reached its highest level in almost three years."</w:t>
      </w:r>
      <w:r>
        <w:t xml:space="preserve"> </w:t>
      </w:r>
      <w:hyperlink r:id="rId22" w:history="1">
        <w:r>
          <w:rPr>
            <w:rStyle w:val="Hyperlink"/>
          </w:rPr>
          <w:t>Conference Board</w:t>
        </w:r>
      </w:hyperlink>
    </w:p>
    <w:p w14:paraId="7CBA3069" w14:textId="1B457202" w:rsidR="002219E6" w:rsidRPr="006555E9" w:rsidRDefault="00E82D3C" w:rsidP="006555E9">
      <w:pPr>
        <w:pStyle w:val="Heading2"/>
        <w:rPr>
          <w:rFonts w:asciiTheme="minorHAnsi" w:eastAsia="Avenir" w:hAnsiTheme="minorHAnsi" w:cstheme="minorHAnsi"/>
        </w:rPr>
      </w:pPr>
      <w:r>
        <w:rPr>
          <w:rFonts w:asciiTheme="minorHAnsi" w:eastAsia="Avenir" w:hAnsiTheme="minorHAnsi" w:cstheme="minorHAnsi"/>
        </w:rPr>
        <w:t>Housing Market Showing Improvement</w:t>
      </w:r>
    </w:p>
    <w:p w14:paraId="4CF63D48" w14:textId="77777777" w:rsidR="002449F4" w:rsidRDefault="002449F4" w:rsidP="00C71FF6">
      <w:pPr>
        <w:rPr>
          <w:color w:val="58595B"/>
        </w:rPr>
      </w:pPr>
      <w:r w:rsidRPr="00C71FF6">
        <w:rPr>
          <w:color w:val="58595B"/>
        </w:rPr>
        <w:t>Existing home sales rose 2.9% in October compared to a year ago, marking the first annual gain in more than three years, according to the National Association of Realtors (NAR). On a monthly basis, home sales rose 3.4% compared to September to an annual rate of 3.96 million units. That topped the 3.93 million units expected by economists.</w:t>
      </w:r>
    </w:p>
    <w:p w14:paraId="3AED793C" w14:textId="77777777" w:rsidR="00900651" w:rsidRPr="00C71FF6" w:rsidRDefault="00900651" w:rsidP="00C71FF6">
      <w:pPr>
        <w:rPr>
          <w:color w:val="58595B"/>
        </w:rPr>
      </w:pPr>
    </w:p>
    <w:p w14:paraId="1D99CA73" w14:textId="77777777" w:rsidR="002449F4" w:rsidRDefault="002449F4" w:rsidP="00C71FF6">
      <w:pPr>
        <w:rPr>
          <w:color w:val="58595B"/>
        </w:rPr>
      </w:pPr>
      <w:r w:rsidRPr="00C71FF6">
        <w:rPr>
          <w:color w:val="58595B"/>
        </w:rPr>
        <w:t xml:space="preserve">Still, October marked the 16th straight month of annual home price increases, with the average home price now at $407,200, 4% higher than a year ago. Those high prices, low inventories, and high mortgage rates likely means 2024 will record the lowest annual home sales since 1995. </w:t>
      </w:r>
    </w:p>
    <w:p w14:paraId="0B8B54A0" w14:textId="77777777" w:rsidR="00900651" w:rsidRPr="00C71FF6" w:rsidRDefault="00900651" w:rsidP="00C71FF6">
      <w:pPr>
        <w:rPr>
          <w:color w:val="58595B"/>
        </w:rPr>
      </w:pPr>
    </w:p>
    <w:p w14:paraId="2FF868B5" w14:textId="77777777" w:rsidR="002449F4" w:rsidRDefault="002449F4" w:rsidP="00C71FF6">
      <w:pPr>
        <w:rPr>
          <w:color w:val="58595B"/>
        </w:rPr>
      </w:pPr>
      <w:r w:rsidRPr="00C71FF6">
        <w:rPr>
          <w:color w:val="58595B"/>
        </w:rPr>
        <w:t>The US housing market has been in the doldrums since 2022 when interest rates on mortgages began an upward trajectory from pandemic-era lows. Last year existing home sales dropped to a near 30-year low as mortgage rates soared to a 23-year high of almost 8%.</w:t>
      </w:r>
    </w:p>
    <w:p w14:paraId="04A73A70" w14:textId="77777777" w:rsidR="00900651" w:rsidRPr="00C71FF6" w:rsidRDefault="00900651" w:rsidP="00C71FF6">
      <w:pPr>
        <w:rPr>
          <w:color w:val="58595B"/>
        </w:rPr>
      </w:pPr>
    </w:p>
    <w:p w14:paraId="67D5B3CE" w14:textId="77777777" w:rsidR="002449F4" w:rsidRDefault="002449F4" w:rsidP="00C71FF6">
      <w:pPr>
        <w:rPr>
          <w:color w:val="58595B"/>
        </w:rPr>
      </w:pPr>
      <w:r w:rsidRPr="00C71FF6">
        <w:rPr>
          <w:color w:val="58595B"/>
        </w:rPr>
        <w:t xml:space="preserve">But this latest report could signal an improving housing market, helped significantly by a two-year low of 6.08% in the average rate of a 30-year mortgage. Properties are also taking longer to sell, which could point to much needed higher inventory levels. </w:t>
      </w:r>
    </w:p>
    <w:p w14:paraId="37BFF966" w14:textId="77777777" w:rsidR="00900651" w:rsidRPr="00C71FF6" w:rsidRDefault="00900651" w:rsidP="00C71FF6">
      <w:pPr>
        <w:rPr>
          <w:color w:val="58595B"/>
        </w:rPr>
      </w:pPr>
    </w:p>
    <w:p w14:paraId="0C5FCDB1" w14:textId="77777777" w:rsidR="002449F4" w:rsidRDefault="002449F4" w:rsidP="00C71FF6">
      <w:r w:rsidRPr="00C71FF6">
        <w:rPr>
          <w:color w:val="58595B"/>
        </w:rPr>
        <w:t>According to Lawrence Yun, the NAR’s chief economist, "the worst of the downturn in home sales could be over, with increasing inventory leading to more transactions.” But Yun added, "we still need another 30% growth in inventory to get us back to pre-COVID conditions.”</w:t>
      </w:r>
      <w:r>
        <w:t xml:space="preserve"> </w:t>
      </w:r>
      <w:hyperlink r:id="rId23" w:history="1">
        <w:r>
          <w:rPr>
            <w:rStyle w:val="Hyperlink"/>
          </w:rPr>
          <w:t>AP News</w:t>
        </w:r>
      </w:hyperlink>
    </w:p>
    <w:p w14:paraId="642DE185" w14:textId="77777777" w:rsidR="00E729B6" w:rsidRPr="00545D21" w:rsidRDefault="00E729B6" w:rsidP="00E729B6">
      <w:pPr>
        <w:rPr>
          <w:rFonts w:eastAsia="Avenir" w:cstheme="minorHAnsi"/>
        </w:rPr>
      </w:pPr>
    </w:p>
    <w:p w14:paraId="6559A5B9" w14:textId="559EF8D0"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lastRenderedPageBreak/>
        <w:t xml:space="preserve">This research material was prepared by </w:t>
      </w:r>
      <w:r w:rsidR="00C64F63">
        <w:rPr>
          <w:rFonts w:eastAsia="Avenir" w:cstheme="minorHAnsi"/>
          <w:color w:val="999999"/>
          <w:sz w:val="16"/>
          <w:szCs w:val="16"/>
        </w:rPr>
        <w:t>Burritt Research, Inc</w:t>
      </w:r>
      <w:r w:rsidRPr="000B3FB0">
        <w:rPr>
          <w:rFonts w:eastAsia="Avenir" w:cstheme="minorHAnsi"/>
          <w:color w:val="999999"/>
          <w:sz w:val="16"/>
          <w:szCs w:val="16"/>
        </w:rPr>
        <w:t>.</w:t>
      </w:r>
    </w:p>
    <w:p w14:paraId="6645C804" w14:textId="77777777" w:rsidR="00FE629C" w:rsidRPr="000B3FB0" w:rsidRDefault="00FE629C" w:rsidP="006F28A9">
      <w:pPr>
        <w:ind w:right="360"/>
        <w:rPr>
          <w:rFonts w:eastAsia="Avenir" w:cstheme="minorHAnsi"/>
          <w:color w:val="999999"/>
          <w:sz w:val="16"/>
          <w:szCs w:val="16"/>
        </w:rPr>
      </w:pPr>
    </w:p>
    <w:p w14:paraId="099737C6" w14:textId="77777777" w:rsidR="00B106D8" w:rsidRDefault="00B106D8" w:rsidP="00B106D8">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094364AD" w14:textId="77777777" w:rsidR="00B106D8" w:rsidRDefault="00B106D8" w:rsidP="00B106D8">
      <w:pPr>
        <w:ind w:right="360"/>
        <w:rPr>
          <w:rFonts w:ascii="Avenir" w:eastAsia="Avenir" w:hAnsi="Avenir" w:cs="Avenir"/>
          <w:b/>
          <w:color w:val="999999"/>
          <w:sz w:val="16"/>
          <w:szCs w:val="16"/>
        </w:rPr>
      </w:pPr>
    </w:p>
    <w:p w14:paraId="7979E7BB"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Default="00B106D8" w:rsidP="00B106D8">
      <w:pPr>
        <w:ind w:right="360"/>
        <w:rPr>
          <w:rFonts w:ascii="Avenir" w:eastAsia="Avenir" w:hAnsi="Avenir" w:cs="Avenir"/>
          <w:color w:val="999999"/>
          <w:sz w:val="16"/>
          <w:szCs w:val="16"/>
        </w:rPr>
      </w:pPr>
    </w:p>
    <w:p w14:paraId="4AAE2B8F"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Default="00B106D8" w:rsidP="00B106D8">
      <w:pPr>
        <w:ind w:right="360"/>
        <w:rPr>
          <w:rFonts w:ascii="Avenir" w:eastAsia="Avenir" w:hAnsi="Avenir" w:cs="Avenir"/>
          <w:color w:val="999999"/>
          <w:sz w:val="16"/>
          <w:szCs w:val="16"/>
        </w:rPr>
      </w:pPr>
    </w:p>
    <w:p w14:paraId="5D11A940"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Nasdaq Composite Index is a market-capitalization weighted index of </w:t>
      </w:r>
      <w:proofErr w:type="gramStart"/>
      <w:r>
        <w:rPr>
          <w:rFonts w:ascii="Avenir" w:eastAsia="Avenir" w:hAnsi="Avenir" w:cs="Avenir"/>
          <w:color w:val="999999"/>
          <w:sz w:val="16"/>
          <w:szCs w:val="16"/>
        </w:rPr>
        <w:t>the more</w:t>
      </w:r>
      <w:proofErr w:type="gramEnd"/>
      <w:r>
        <w:rPr>
          <w:rFonts w:ascii="Avenir" w:eastAsia="Avenir" w:hAnsi="Avenir" w:cs="Avenir"/>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Default="00B106D8" w:rsidP="00B106D8">
      <w:pPr>
        <w:ind w:right="360"/>
        <w:rPr>
          <w:rFonts w:ascii="Avenir" w:eastAsia="Avenir" w:hAnsi="Avenir" w:cs="Avenir"/>
          <w:color w:val="999999"/>
          <w:sz w:val="16"/>
          <w:szCs w:val="16"/>
        </w:rPr>
      </w:pPr>
    </w:p>
    <w:p w14:paraId="7A01E923"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3659DFF2" w14:textId="77777777" w:rsidR="00B106D8" w:rsidRDefault="00B106D8" w:rsidP="00B106D8">
      <w:pPr>
        <w:ind w:right="360"/>
        <w:rPr>
          <w:rFonts w:ascii="Avenir" w:eastAsia="Avenir" w:hAnsi="Avenir" w:cs="Avenir"/>
          <w:color w:val="999999"/>
          <w:sz w:val="16"/>
          <w:szCs w:val="16"/>
        </w:rPr>
      </w:pPr>
    </w:p>
    <w:p w14:paraId="30F1270C"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Conference Board creates the Present Situation Index (PSI) from survey data of approximately 5000 households across the United States to gauge public opinion about the U.S.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Default="00B106D8" w:rsidP="00B106D8">
      <w:pPr>
        <w:ind w:right="360"/>
        <w:rPr>
          <w:rFonts w:ascii="Avenir" w:eastAsia="Avenir" w:hAnsi="Avenir" w:cs="Avenir"/>
          <w:color w:val="999999"/>
          <w:sz w:val="16"/>
          <w:szCs w:val="16"/>
        </w:rPr>
      </w:pPr>
    </w:p>
    <w:p w14:paraId="2C6F803A"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Expectations Index is a component of the Consumer Confidence Index® (CCI), which is published each month by the Conference Board. The CCI reflects consumers’ short-term—that is, six-month—outlook for, and sentiment about, the performance of the overall economy as it </w:t>
      </w:r>
      <w:proofErr w:type="gramStart"/>
      <w:r>
        <w:rPr>
          <w:rFonts w:ascii="Avenir" w:eastAsia="Avenir" w:hAnsi="Avenir" w:cs="Avenir"/>
          <w:color w:val="999999"/>
          <w:sz w:val="16"/>
          <w:szCs w:val="16"/>
        </w:rPr>
        <w:t>effects</w:t>
      </w:r>
      <w:proofErr w:type="gramEnd"/>
      <w:r>
        <w:rPr>
          <w:rFonts w:ascii="Avenir" w:eastAsia="Avenir" w:hAnsi="Avenir" w:cs="Avenir"/>
          <w:color w:val="999999"/>
          <w:sz w:val="16"/>
          <w:szCs w:val="16"/>
        </w:rPr>
        <w:t xml:space="preserve"> them. The Expectations Index is made up of the average of the CCI components that deal with six-month outlooks for business, employment, and income.</w:t>
      </w:r>
    </w:p>
    <w:p w14:paraId="4C96F867" w14:textId="77777777" w:rsidR="00B106D8" w:rsidRDefault="00B106D8" w:rsidP="00B106D8">
      <w:pPr>
        <w:ind w:right="360"/>
        <w:rPr>
          <w:rFonts w:ascii="Avenir" w:eastAsia="Avenir" w:hAnsi="Avenir" w:cs="Avenir"/>
          <w:color w:val="999999"/>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5008B7C6" w14:textId="77777777" w:rsidR="00F50281" w:rsidRDefault="00F50281" w:rsidP="00BF0243">
      <w:pPr>
        <w:widowControl/>
        <w:rPr>
          <w:rFonts w:cstheme="minorHAnsi"/>
          <w:color w:val="58595B"/>
          <w:sz w:val="16"/>
          <w:szCs w:val="16"/>
        </w:rPr>
      </w:pPr>
    </w:p>
    <w:p w14:paraId="1B6C734A" w14:textId="77777777" w:rsidR="00F50281" w:rsidRDefault="00F50281" w:rsidP="00BF0243">
      <w:pPr>
        <w:widowControl/>
        <w:rPr>
          <w:rFonts w:cstheme="minorHAnsi"/>
          <w:color w:val="58595B"/>
          <w:sz w:val="16"/>
          <w:szCs w:val="16"/>
        </w:rPr>
      </w:pPr>
    </w:p>
    <w:p w14:paraId="4B5ABAF7" w14:textId="77777777" w:rsidR="00C71FF6" w:rsidRDefault="00C71FF6" w:rsidP="00BF0243">
      <w:pPr>
        <w:widowControl/>
        <w:rPr>
          <w:rFonts w:cstheme="minorHAnsi"/>
          <w:color w:val="58595B"/>
          <w:sz w:val="16"/>
          <w:szCs w:val="16"/>
        </w:rPr>
      </w:pPr>
    </w:p>
    <w:p w14:paraId="12E2299D" w14:textId="77777777" w:rsidR="00F50281" w:rsidRDefault="00F50281" w:rsidP="00BF0243">
      <w:pPr>
        <w:widowControl/>
        <w:rPr>
          <w:rFonts w:cstheme="minorHAnsi"/>
          <w:color w:val="58595B"/>
          <w:sz w:val="16"/>
          <w:szCs w:val="16"/>
        </w:rPr>
      </w:pPr>
    </w:p>
    <w:p w14:paraId="19B0EA63" w14:textId="77777777" w:rsidR="004B5874" w:rsidRPr="004D480C" w:rsidRDefault="004B5874"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5A6743D5"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w:t>
      </w:r>
      <w:r w:rsidR="00970261">
        <w:rPr>
          <w:rFonts w:cstheme="minorHAnsi"/>
          <w:color w:val="58595B"/>
          <w:sz w:val="16"/>
          <w:szCs w:val="16"/>
        </w:rPr>
        <w:t>,</w:t>
      </w:r>
      <w:r w:rsidR="00E249E2" w:rsidRPr="00C03AB7">
        <w:rPr>
          <w:rFonts w:cstheme="minorHAnsi"/>
          <w:color w:val="58595B"/>
          <w:sz w:val="16"/>
          <w:szCs w:val="16"/>
        </w:rPr>
        <w:t xml:space="preserve"> Wealthcare Advisory Partners LLC</w:t>
      </w:r>
      <w:r w:rsidR="00970261">
        <w:rPr>
          <w:rFonts w:cstheme="minorHAnsi"/>
          <w:color w:val="58595B"/>
          <w:sz w:val="16"/>
          <w:szCs w:val="16"/>
        </w:rPr>
        <w:t xml:space="preserve">, and Wealthcare </w:t>
      </w:r>
      <w:r w:rsidR="00462D29">
        <w:rPr>
          <w:rFonts w:cstheme="minorHAnsi"/>
          <w:color w:val="58595B"/>
          <w:sz w:val="16"/>
          <w:szCs w:val="16"/>
        </w:rPr>
        <w:t>Capital Partners LLC</w:t>
      </w:r>
      <w:r w:rsidR="00E249E2" w:rsidRPr="00C03AB7">
        <w:rPr>
          <w:rFonts w:cstheme="minorHAnsi"/>
          <w:color w:val="58595B"/>
          <w:sz w:val="16"/>
          <w:szCs w:val="16"/>
        </w:rPr>
        <w:t xml:space="preserve">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03AB7">
        <w:rPr>
          <w:rFonts w:eastAsiaTheme="minorEastAsia" w:cstheme="minorHAnsi"/>
          <w:color w:val="58595B"/>
          <w:sz w:val="16"/>
          <w:szCs w:val="16"/>
        </w:rPr>
        <w:t>period of time</w:t>
      </w:r>
      <w:proofErr w:type="gramEnd"/>
      <w:r w:rsidRPr="00C03AB7">
        <w:rPr>
          <w:rFonts w:eastAsiaTheme="minorEastAsia" w:cstheme="minorHAnsi"/>
          <w:color w:val="58595B"/>
          <w:sz w:val="16"/>
          <w:szCs w:val="16"/>
        </w:rPr>
        <w:t xml:space="preserv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6295831D">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17EE2" w14:textId="77777777" w:rsidR="007E1098" w:rsidRDefault="007E1098">
      <w:r>
        <w:separator/>
      </w:r>
    </w:p>
  </w:endnote>
  <w:endnote w:type="continuationSeparator" w:id="0">
    <w:p w14:paraId="71F770FE" w14:textId="77777777" w:rsidR="007E1098" w:rsidRDefault="007E1098">
      <w:r>
        <w:continuationSeparator/>
      </w:r>
    </w:p>
  </w:endnote>
  <w:endnote w:type="continuationNotice" w:id="1">
    <w:p w14:paraId="4ADA7071" w14:textId="77777777" w:rsidR="007E1098" w:rsidRDefault="007E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DDF5D" w14:textId="77777777" w:rsidR="007E1098" w:rsidRDefault="007E1098">
      <w:r>
        <w:separator/>
      </w:r>
    </w:p>
  </w:footnote>
  <w:footnote w:type="continuationSeparator" w:id="0">
    <w:p w14:paraId="0AD172B8" w14:textId="77777777" w:rsidR="007E1098" w:rsidRDefault="007E1098">
      <w:r>
        <w:continuationSeparator/>
      </w:r>
    </w:p>
  </w:footnote>
  <w:footnote w:type="continuationNotice" w:id="1">
    <w:p w14:paraId="237B4BC7" w14:textId="77777777" w:rsidR="007E1098" w:rsidRDefault="007E1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asFAFsD6rYtAAAA"/>
  </w:docVars>
  <w:rsids>
    <w:rsidRoot w:val="00310271"/>
    <w:rsid w:val="000036B2"/>
    <w:rsid w:val="000071F9"/>
    <w:rsid w:val="000146B5"/>
    <w:rsid w:val="0002356D"/>
    <w:rsid w:val="00025049"/>
    <w:rsid w:val="000251DB"/>
    <w:rsid w:val="00026505"/>
    <w:rsid w:val="00027D08"/>
    <w:rsid w:val="00040C3C"/>
    <w:rsid w:val="000536AB"/>
    <w:rsid w:val="00056B71"/>
    <w:rsid w:val="0006031A"/>
    <w:rsid w:val="00060559"/>
    <w:rsid w:val="00060862"/>
    <w:rsid w:val="000719FE"/>
    <w:rsid w:val="00074E6F"/>
    <w:rsid w:val="00075B30"/>
    <w:rsid w:val="000762FC"/>
    <w:rsid w:val="00081994"/>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27E67"/>
    <w:rsid w:val="00132058"/>
    <w:rsid w:val="001320EA"/>
    <w:rsid w:val="00133F7F"/>
    <w:rsid w:val="00140E81"/>
    <w:rsid w:val="00141D14"/>
    <w:rsid w:val="001470E4"/>
    <w:rsid w:val="001532A5"/>
    <w:rsid w:val="001534A4"/>
    <w:rsid w:val="001537A4"/>
    <w:rsid w:val="00153F4A"/>
    <w:rsid w:val="00161B54"/>
    <w:rsid w:val="00162118"/>
    <w:rsid w:val="0017091A"/>
    <w:rsid w:val="0017149B"/>
    <w:rsid w:val="001744D6"/>
    <w:rsid w:val="00175C9D"/>
    <w:rsid w:val="0018292B"/>
    <w:rsid w:val="00183C38"/>
    <w:rsid w:val="00187E21"/>
    <w:rsid w:val="001929E9"/>
    <w:rsid w:val="00194883"/>
    <w:rsid w:val="001A407F"/>
    <w:rsid w:val="001A5AE0"/>
    <w:rsid w:val="001C0EE6"/>
    <w:rsid w:val="001C2F89"/>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640B5"/>
    <w:rsid w:val="00271D59"/>
    <w:rsid w:val="00274EA9"/>
    <w:rsid w:val="00276A7C"/>
    <w:rsid w:val="00280C61"/>
    <w:rsid w:val="00286212"/>
    <w:rsid w:val="0029529F"/>
    <w:rsid w:val="002A38CA"/>
    <w:rsid w:val="002A4D21"/>
    <w:rsid w:val="002B07E7"/>
    <w:rsid w:val="002B2F91"/>
    <w:rsid w:val="002B3E10"/>
    <w:rsid w:val="002C01C4"/>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44B8"/>
    <w:rsid w:val="003B6D62"/>
    <w:rsid w:val="003B727B"/>
    <w:rsid w:val="003B730E"/>
    <w:rsid w:val="003B7896"/>
    <w:rsid w:val="003C0245"/>
    <w:rsid w:val="003C70C1"/>
    <w:rsid w:val="003C7B91"/>
    <w:rsid w:val="003D725D"/>
    <w:rsid w:val="003E2206"/>
    <w:rsid w:val="003E43C9"/>
    <w:rsid w:val="003E4BD4"/>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D9C"/>
    <w:rsid w:val="0048612C"/>
    <w:rsid w:val="00486DA1"/>
    <w:rsid w:val="00494E1B"/>
    <w:rsid w:val="00495C93"/>
    <w:rsid w:val="00496DD2"/>
    <w:rsid w:val="00497869"/>
    <w:rsid w:val="004A0254"/>
    <w:rsid w:val="004A04FD"/>
    <w:rsid w:val="004A0EF4"/>
    <w:rsid w:val="004A20B9"/>
    <w:rsid w:val="004A22AB"/>
    <w:rsid w:val="004A5042"/>
    <w:rsid w:val="004B5874"/>
    <w:rsid w:val="004B7F15"/>
    <w:rsid w:val="004C00AC"/>
    <w:rsid w:val="004C0269"/>
    <w:rsid w:val="004D480C"/>
    <w:rsid w:val="004D528B"/>
    <w:rsid w:val="004D7659"/>
    <w:rsid w:val="004E2838"/>
    <w:rsid w:val="004E2D55"/>
    <w:rsid w:val="004E2DF5"/>
    <w:rsid w:val="004E43EA"/>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7D40"/>
    <w:rsid w:val="00570973"/>
    <w:rsid w:val="0057380B"/>
    <w:rsid w:val="00584BAA"/>
    <w:rsid w:val="00593C4C"/>
    <w:rsid w:val="005971D3"/>
    <w:rsid w:val="00597589"/>
    <w:rsid w:val="005A213E"/>
    <w:rsid w:val="005A25DD"/>
    <w:rsid w:val="005A2D15"/>
    <w:rsid w:val="005A503A"/>
    <w:rsid w:val="005B0F37"/>
    <w:rsid w:val="005B2B32"/>
    <w:rsid w:val="005B6E90"/>
    <w:rsid w:val="005C015E"/>
    <w:rsid w:val="005C0F5A"/>
    <w:rsid w:val="005C2D7B"/>
    <w:rsid w:val="005C33A3"/>
    <w:rsid w:val="005C3A4D"/>
    <w:rsid w:val="005C5E14"/>
    <w:rsid w:val="005D075C"/>
    <w:rsid w:val="005D0D11"/>
    <w:rsid w:val="005D1DE3"/>
    <w:rsid w:val="005D7902"/>
    <w:rsid w:val="005E0EB9"/>
    <w:rsid w:val="005E2E0D"/>
    <w:rsid w:val="005E4B02"/>
    <w:rsid w:val="00602F86"/>
    <w:rsid w:val="00606E96"/>
    <w:rsid w:val="00612551"/>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55E9"/>
    <w:rsid w:val="00656A11"/>
    <w:rsid w:val="00660116"/>
    <w:rsid w:val="0066125D"/>
    <w:rsid w:val="00661EC6"/>
    <w:rsid w:val="00666482"/>
    <w:rsid w:val="00681E99"/>
    <w:rsid w:val="0068201F"/>
    <w:rsid w:val="00682DD2"/>
    <w:rsid w:val="00683FAC"/>
    <w:rsid w:val="00686641"/>
    <w:rsid w:val="006918CC"/>
    <w:rsid w:val="0069522A"/>
    <w:rsid w:val="00695F42"/>
    <w:rsid w:val="006967BB"/>
    <w:rsid w:val="006B76C3"/>
    <w:rsid w:val="006D0717"/>
    <w:rsid w:val="006D3705"/>
    <w:rsid w:val="006E1C96"/>
    <w:rsid w:val="006E51E1"/>
    <w:rsid w:val="006E5CA8"/>
    <w:rsid w:val="006F28A9"/>
    <w:rsid w:val="006F3418"/>
    <w:rsid w:val="006F7759"/>
    <w:rsid w:val="0070100C"/>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961"/>
    <w:rsid w:val="00750FD6"/>
    <w:rsid w:val="0075254C"/>
    <w:rsid w:val="007537D7"/>
    <w:rsid w:val="00755010"/>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5170"/>
    <w:rsid w:val="007B59A5"/>
    <w:rsid w:val="007B7745"/>
    <w:rsid w:val="007C0D49"/>
    <w:rsid w:val="007C2D9B"/>
    <w:rsid w:val="007C344D"/>
    <w:rsid w:val="007C3925"/>
    <w:rsid w:val="007C4B80"/>
    <w:rsid w:val="007C7524"/>
    <w:rsid w:val="007D450B"/>
    <w:rsid w:val="007D5645"/>
    <w:rsid w:val="007E1098"/>
    <w:rsid w:val="007E1511"/>
    <w:rsid w:val="007E4E13"/>
    <w:rsid w:val="007E55DD"/>
    <w:rsid w:val="007F10EF"/>
    <w:rsid w:val="007F669A"/>
    <w:rsid w:val="007F7717"/>
    <w:rsid w:val="0080555E"/>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567BB"/>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0651"/>
    <w:rsid w:val="009015F6"/>
    <w:rsid w:val="00907CEA"/>
    <w:rsid w:val="009110A4"/>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114D"/>
    <w:rsid w:val="009E274F"/>
    <w:rsid w:val="009F19DF"/>
    <w:rsid w:val="009F2929"/>
    <w:rsid w:val="009F4F1D"/>
    <w:rsid w:val="009F70BD"/>
    <w:rsid w:val="00A00DE7"/>
    <w:rsid w:val="00A049E2"/>
    <w:rsid w:val="00A04C54"/>
    <w:rsid w:val="00A05DEE"/>
    <w:rsid w:val="00A11F92"/>
    <w:rsid w:val="00A22F75"/>
    <w:rsid w:val="00A26AC3"/>
    <w:rsid w:val="00A31B84"/>
    <w:rsid w:val="00A3398B"/>
    <w:rsid w:val="00A37CFE"/>
    <w:rsid w:val="00A40946"/>
    <w:rsid w:val="00A42F7D"/>
    <w:rsid w:val="00A613CC"/>
    <w:rsid w:val="00A621BC"/>
    <w:rsid w:val="00A65456"/>
    <w:rsid w:val="00A763E7"/>
    <w:rsid w:val="00A77876"/>
    <w:rsid w:val="00A81377"/>
    <w:rsid w:val="00A87A54"/>
    <w:rsid w:val="00A90736"/>
    <w:rsid w:val="00A93393"/>
    <w:rsid w:val="00AA02F6"/>
    <w:rsid w:val="00AA0D57"/>
    <w:rsid w:val="00AB025D"/>
    <w:rsid w:val="00AB1444"/>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06D8"/>
    <w:rsid w:val="00B1237F"/>
    <w:rsid w:val="00B14A3F"/>
    <w:rsid w:val="00B23CB8"/>
    <w:rsid w:val="00B278B8"/>
    <w:rsid w:val="00B31916"/>
    <w:rsid w:val="00B32982"/>
    <w:rsid w:val="00B412D0"/>
    <w:rsid w:val="00B41F85"/>
    <w:rsid w:val="00B42635"/>
    <w:rsid w:val="00B42EFD"/>
    <w:rsid w:val="00B43370"/>
    <w:rsid w:val="00B44158"/>
    <w:rsid w:val="00B469E4"/>
    <w:rsid w:val="00B51A09"/>
    <w:rsid w:val="00B5439B"/>
    <w:rsid w:val="00B56B09"/>
    <w:rsid w:val="00B57F19"/>
    <w:rsid w:val="00B601FA"/>
    <w:rsid w:val="00B613BE"/>
    <w:rsid w:val="00B64A88"/>
    <w:rsid w:val="00B6511F"/>
    <w:rsid w:val="00B6575E"/>
    <w:rsid w:val="00B6712C"/>
    <w:rsid w:val="00B73C8D"/>
    <w:rsid w:val="00B758FB"/>
    <w:rsid w:val="00B82A95"/>
    <w:rsid w:val="00B84A02"/>
    <w:rsid w:val="00B85C98"/>
    <w:rsid w:val="00B90DA6"/>
    <w:rsid w:val="00B92EE8"/>
    <w:rsid w:val="00B97AFD"/>
    <w:rsid w:val="00BA0C70"/>
    <w:rsid w:val="00BA2CC6"/>
    <w:rsid w:val="00BA2D41"/>
    <w:rsid w:val="00BA3AC9"/>
    <w:rsid w:val="00BA4143"/>
    <w:rsid w:val="00BA5B1A"/>
    <w:rsid w:val="00BA66B4"/>
    <w:rsid w:val="00BB219B"/>
    <w:rsid w:val="00BB5458"/>
    <w:rsid w:val="00BB7912"/>
    <w:rsid w:val="00BC19BA"/>
    <w:rsid w:val="00BC1CC0"/>
    <w:rsid w:val="00BC2C82"/>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37FE"/>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5FF6"/>
    <w:rsid w:val="00C87564"/>
    <w:rsid w:val="00CA10C2"/>
    <w:rsid w:val="00CA423F"/>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D70"/>
    <w:rsid w:val="00D5610D"/>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E7CAE"/>
    <w:rsid w:val="00DF115D"/>
    <w:rsid w:val="00DF1E02"/>
    <w:rsid w:val="00DF5D78"/>
    <w:rsid w:val="00DF6C35"/>
    <w:rsid w:val="00DF6CCB"/>
    <w:rsid w:val="00E0109B"/>
    <w:rsid w:val="00E068FD"/>
    <w:rsid w:val="00E13554"/>
    <w:rsid w:val="00E13977"/>
    <w:rsid w:val="00E158C0"/>
    <w:rsid w:val="00E15CC8"/>
    <w:rsid w:val="00E17B6F"/>
    <w:rsid w:val="00E22E74"/>
    <w:rsid w:val="00E249E2"/>
    <w:rsid w:val="00E25950"/>
    <w:rsid w:val="00E4127A"/>
    <w:rsid w:val="00E42C8D"/>
    <w:rsid w:val="00E4354E"/>
    <w:rsid w:val="00E43D28"/>
    <w:rsid w:val="00E45703"/>
    <w:rsid w:val="00E463D4"/>
    <w:rsid w:val="00E50BC4"/>
    <w:rsid w:val="00E54EC0"/>
    <w:rsid w:val="00E729B6"/>
    <w:rsid w:val="00E73B5F"/>
    <w:rsid w:val="00E761F7"/>
    <w:rsid w:val="00E829DC"/>
    <w:rsid w:val="00E82D3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F1341"/>
    <w:rsid w:val="00EF3A04"/>
    <w:rsid w:val="00EF421D"/>
    <w:rsid w:val="00EF4FDE"/>
    <w:rsid w:val="00F12C03"/>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29AF"/>
    <w:rsid w:val="00F54018"/>
    <w:rsid w:val="00F54DC8"/>
    <w:rsid w:val="00F56D0D"/>
    <w:rsid w:val="00F60324"/>
    <w:rsid w:val="00F61203"/>
    <w:rsid w:val="00F641A7"/>
    <w:rsid w:val="00F7205E"/>
    <w:rsid w:val="00F72A72"/>
    <w:rsid w:val="00F77085"/>
    <w:rsid w:val="00F8517C"/>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4/11/27/pce-inflation-october-2024.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pnews.com/article/housing-home-sales-real-estate-home-prices-714c908cacd7d6ee9ee373db7d675f0e"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nference-board.org/topics/consumer-confidence"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1522</Words>
  <Characters>8580</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30</cp:revision>
  <cp:lastPrinted>2024-12-02T20:05:00Z</cp:lastPrinted>
  <dcterms:created xsi:type="dcterms:W3CDTF">2024-10-02T18:05:00Z</dcterms:created>
  <dcterms:modified xsi:type="dcterms:W3CDTF">2024-12-02T20:07:00Z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