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428732"/>
    <w:bookmarkEnd w:id="0"/>
    <w:p w14:paraId="3AAF4777" w14:textId="4CF027D2" w:rsidR="00CE7DF2" w:rsidRPr="004D480C" w:rsidRDefault="00116740" w:rsidP="00BF0243">
      <w:pPr>
        <w:rPr>
          <w:rFonts w:eastAsia="Times New Roman" w:cstheme="minorHAnsi"/>
          <w:sz w:val="20"/>
          <w:szCs w:val="20"/>
        </w:rPr>
      </w:pPr>
      <w:r w:rsidRPr="004D480C">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2">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4D480C">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4D480C">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3D90F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4D480C" w:rsidRDefault="00CE7DF2" w:rsidP="00BF0243">
      <w:pPr>
        <w:shd w:val="clear" w:color="auto" w:fill="FFFFFF"/>
        <w:rPr>
          <w:rFonts w:eastAsia="Times New Roman" w:cstheme="minorHAnsi"/>
          <w:b/>
          <w:bCs/>
          <w:color w:val="000000"/>
          <w:sz w:val="32"/>
          <w:szCs w:val="32"/>
        </w:rPr>
      </w:pPr>
    </w:p>
    <w:p w14:paraId="498CF986" w14:textId="75D30AE9" w:rsidR="00310271" w:rsidRPr="004D480C" w:rsidRDefault="002570F6" w:rsidP="00BF0243">
      <w:pPr>
        <w:ind w:left="720"/>
        <w:rPr>
          <w:rFonts w:eastAsia="Proxima Nova Light" w:cstheme="minorHAnsi"/>
          <w:color w:val="005EA4"/>
          <w:sz w:val="44"/>
          <w:szCs w:val="44"/>
        </w:rPr>
      </w:pPr>
      <w:r>
        <w:rPr>
          <w:rFonts w:eastAsia="Times New Roman" w:cstheme="minorHAnsi"/>
          <w:b/>
          <w:bCs/>
          <w:color w:val="005EA4"/>
          <w:sz w:val="44"/>
          <w:szCs w:val="44"/>
        </w:rPr>
        <w:t>December</w:t>
      </w:r>
      <w:r w:rsidR="00CB424D">
        <w:rPr>
          <w:rFonts w:eastAsia="Times New Roman" w:cstheme="minorHAnsi"/>
          <w:b/>
          <w:bCs/>
          <w:color w:val="005EA4"/>
          <w:sz w:val="44"/>
          <w:szCs w:val="44"/>
        </w:rPr>
        <w:t xml:space="preserve"> </w:t>
      </w:r>
      <w:r w:rsidR="00C309DD" w:rsidRPr="004D480C">
        <w:rPr>
          <w:rFonts w:eastAsia="Times New Roman" w:cstheme="minorHAnsi"/>
          <w:b/>
          <w:bCs/>
          <w:color w:val="005EA4"/>
          <w:sz w:val="44"/>
          <w:szCs w:val="44"/>
        </w:rPr>
        <w:t>202</w:t>
      </w:r>
      <w:r w:rsidR="009B1563">
        <w:rPr>
          <w:rFonts w:eastAsia="Times New Roman" w:cstheme="minorHAnsi"/>
          <w:b/>
          <w:bCs/>
          <w:color w:val="005EA4"/>
          <w:sz w:val="44"/>
          <w:szCs w:val="44"/>
        </w:rPr>
        <w:t>4</w:t>
      </w:r>
      <w:r w:rsidR="00CE7DF2" w:rsidRPr="004D480C">
        <w:rPr>
          <w:rFonts w:eastAsia="Times New Roman" w:cstheme="minorHAnsi"/>
          <w:b/>
          <w:bCs/>
          <w:color w:val="005EA4"/>
          <w:sz w:val="44"/>
          <w:szCs w:val="44"/>
        </w:rPr>
        <w:t xml:space="preserve"> Market </w:t>
      </w:r>
      <w:r w:rsidR="00834733" w:rsidRPr="004D480C">
        <w:rPr>
          <w:rFonts w:eastAsia="Times New Roman" w:cstheme="minorHAnsi"/>
          <w:b/>
          <w:bCs/>
          <w:color w:val="005EA4"/>
          <w:sz w:val="44"/>
          <w:szCs w:val="44"/>
        </w:rPr>
        <w:t>Recap</w:t>
      </w:r>
      <w:r w:rsidR="00CE7DF2" w:rsidRPr="004D480C">
        <w:rPr>
          <w:rFonts w:eastAsia="Times New Roman" w:cstheme="minorHAnsi"/>
          <w:b/>
          <w:bCs/>
          <w:color w:val="005EA4"/>
          <w:sz w:val="44"/>
          <w:szCs w:val="44"/>
        </w:rPr>
        <w:t xml:space="preserve"> </w:t>
      </w:r>
    </w:p>
    <w:p w14:paraId="498CF98A" w14:textId="77777777" w:rsidR="00FD5531" w:rsidRPr="004D480C" w:rsidRDefault="001C50E7" w:rsidP="00BF0243">
      <w:pPr>
        <w:pStyle w:val="BodyText"/>
        <w:ind w:left="0" w:right="730"/>
        <w:rPr>
          <w:rFonts w:asciiTheme="minorHAnsi" w:hAnsiTheme="minorHAnsi" w:cstheme="minorHAnsi"/>
          <w:color w:val="0070C0"/>
          <w:sz w:val="32"/>
        </w:rPr>
        <w:sectPr w:rsidR="00FD5531" w:rsidRPr="004D480C" w:rsidSect="00FC7D0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0" w:right="0" w:bottom="0" w:left="0" w:header="720" w:footer="720" w:gutter="0"/>
          <w:cols w:space="720"/>
        </w:sectPr>
      </w:pPr>
      <w:r w:rsidRPr="004D480C">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B29CE8"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Pr="004D480C" w:rsidRDefault="00723E52" w:rsidP="00513DD7">
      <w:pPr>
        <w:ind w:left="-630"/>
        <w:rPr>
          <w:rFonts w:cstheme="minorHAnsi"/>
          <w:sz w:val="21"/>
          <w:szCs w:val="21"/>
        </w:rPr>
      </w:pPr>
    </w:p>
    <w:p w14:paraId="597A1045" w14:textId="77777777" w:rsidR="003D13A4" w:rsidRPr="003D13A4" w:rsidRDefault="003D13A4" w:rsidP="003D13A4">
      <w:pPr>
        <w:rPr>
          <w:color w:val="58595B"/>
        </w:rPr>
      </w:pPr>
      <w:r w:rsidRPr="003D13A4">
        <w:rPr>
          <w:color w:val="58595B"/>
        </w:rPr>
        <w:t>The stock market closed out 2024 on exceptional footing, with all the major indices reporting double-digit gains for the year. The Federal Reserve (Fed) also dropped rates by a quarter-point in December -- marking the second decline in a row -- but warned that, while more rate cuts are likely in 2025, the number of cuts will be less than previously anticipated. Mortgage rates remained elevated during December and will not likely see a significant reduction in 2025, given the yield outlook for longer term fixed rate securities. December also ushered in a November jobs report that outpaced expectations, caping a string of solid monthly gains.</w:t>
      </w:r>
    </w:p>
    <w:p w14:paraId="7BABA9F4" w14:textId="47B35F11" w:rsidR="00962FF6" w:rsidRPr="001470E4" w:rsidRDefault="003D13A4" w:rsidP="00962FF6">
      <w:pPr>
        <w:pStyle w:val="Heading2"/>
        <w:ind w:right="360"/>
        <w:rPr>
          <w:rFonts w:asciiTheme="minorHAnsi" w:eastAsia="Avenir" w:hAnsiTheme="minorHAnsi" w:cstheme="minorHAnsi"/>
          <w:color w:val="005EA4"/>
        </w:rPr>
      </w:pPr>
      <w:r>
        <w:rPr>
          <w:rFonts w:asciiTheme="minorHAnsi" w:eastAsia="Avenir" w:hAnsiTheme="minorHAnsi" w:cstheme="minorHAnsi"/>
          <w:color w:val="005EA4"/>
        </w:rPr>
        <w:t>Markets Surge in 2024</w:t>
      </w:r>
    </w:p>
    <w:p w14:paraId="56E4C90C" w14:textId="2400C684" w:rsidR="006336AC" w:rsidRPr="00C40488" w:rsidRDefault="006336AC" w:rsidP="006336AC">
      <w:pPr>
        <w:rPr>
          <w:color w:val="58595B"/>
        </w:rPr>
      </w:pPr>
      <w:r w:rsidRPr="00C40488">
        <w:rPr>
          <w:color w:val="58595B"/>
        </w:rPr>
        <w:t xml:space="preserve">The markets finished 2024 with a bang and added to a winning streak that dates back </w:t>
      </w:r>
      <w:r w:rsidR="00F1553D">
        <w:rPr>
          <w:color w:val="58595B"/>
        </w:rPr>
        <w:t xml:space="preserve">to </w:t>
      </w:r>
      <w:r w:rsidRPr="00C40488">
        <w:rPr>
          <w:color w:val="58595B"/>
        </w:rPr>
        <w:t>2020. The tech-heavy NASDAQ Composite Index led the way during 2024, up 29% compared to 2023. The broad market S&amp;P 500® (SPX) also closed out 2024 on a positive note, up 23% compared to a year earlier. Over the past two years, the SPX gained 53%, the best two-year performance since the 1997-98 rally. Meanwhile, the Dow Jones Industrial Average® (DJIA) was up 13% for 2024.</w:t>
      </w:r>
    </w:p>
    <w:p w14:paraId="15C01E1F" w14:textId="77777777" w:rsidR="006336AC" w:rsidRPr="00C40488" w:rsidRDefault="006336AC" w:rsidP="006336AC">
      <w:pPr>
        <w:rPr>
          <w:color w:val="58595B"/>
        </w:rPr>
      </w:pPr>
    </w:p>
    <w:p w14:paraId="2201A9DA" w14:textId="77777777" w:rsidR="006336AC" w:rsidRPr="00C40488" w:rsidRDefault="006336AC" w:rsidP="006336AC">
      <w:pPr>
        <w:rPr>
          <w:color w:val="58595B"/>
        </w:rPr>
      </w:pPr>
      <w:r w:rsidRPr="00C40488">
        <w:rPr>
          <w:color w:val="58595B"/>
        </w:rPr>
        <w:t>Driving the historical gains have been a steady march of positive economic reports, including solid economic growth, a strong jobs market, and moderating inflation. The Fed also changed course during 2024, cutting rates and signaling that more rate cuts are on the table for 2025, even though at a slower pace than anticipated. The markets also reacted favorably to a second Trump administration, including potential tax cuts and a moderating regulatory environment. Stocks also took advantage of an AI-driven euphoria over the potential benefits the new technology may deliver across the commercial spectrum.</w:t>
      </w:r>
    </w:p>
    <w:p w14:paraId="7685076C" w14:textId="77777777" w:rsidR="00442743" w:rsidRPr="001470E4" w:rsidRDefault="00442743" w:rsidP="00962FF6">
      <w:pPr>
        <w:ind w:right="360"/>
        <w:rPr>
          <w:rFonts w:eastAsia="Avenir" w:cstheme="minorHAnsi"/>
        </w:rPr>
      </w:pPr>
    </w:p>
    <w:p w14:paraId="0B4A2395" w14:textId="0AFAD75E" w:rsidR="003B44B8" w:rsidRDefault="00564075" w:rsidP="000E6802">
      <w:pPr>
        <w:ind w:left="360"/>
        <w:jc w:val="center"/>
        <w:rPr>
          <w:rFonts w:ascii="Avenir" w:eastAsia="Avenir" w:hAnsi="Avenir" w:cs="Avenir"/>
        </w:rPr>
      </w:pPr>
      <w:r>
        <w:rPr>
          <w:noProof/>
        </w:rPr>
        <w:drawing>
          <wp:inline distT="0" distB="0" distL="0" distR="0" wp14:anchorId="5424E140" wp14:editId="25E2459E">
            <wp:extent cx="5905500" cy="3143250"/>
            <wp:effectExtent l="19050" t="19050" r="19050" b="19050"/>
            <wp:docPr id="820892671" name="Picture 1" descr="A graph showing the growth of the stock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892671" name="Picture 1" descr="A graph showing the growth of the stock market&#10;&#10;Description automatically generated"/>
                    <pic:cNvPicPr/>
                  </pic:nvPicPr>
                  <pic:blipFill>
                    <a:blip r:embed="rId19"/>
                    <a:stretch>
                      <a:fillRect/>
                    </a:stretch>
                  </pic:blipFill>
                  <pic:spPr>
                    <a:xfrm>
                      <a:off x="0" y="0"/>
                      <a:ext cx="5905500" cy="3143250"/>
                    </a:xfrm>
                    <a:prstGeom prst="rect">
                      <a:avLst/>
                    </a:prstGeom>
                    <a:ln>
                      <a:solidFill>
                        <a:schemeClr val="accent1"/>
                      </a:solidFill>
                    </a:ln>
                  </pic:spPr>
                </pic:pic>
              </a:graphicData>
            </a:graphic>
          </wp:inline>
        </w:drawing>
      </w:r>
    </w:p>
    <w:p w14:paraId="6E2499D9" w14:textId="73AA9703" w:rsidR="003B44B8" w:rsidRDefault="003B44B8" w:rsidP="003B44B8">
      <w:pPr>
        <w:ind w:left="360"/>
        <w:jc w:val="center"/>
        <w:rPr>
          <w:rFonts w:ascii="Avenir" w:eastAsia="Avenir" w:hAnsi="Avenir" w:cs="Avenir"/>
        </w:rPr>
      </w:pPr>
    </w:p>
    <w:p w14:paraId="3643C02E" w14:textId="5322FF14" w:rsidR="003B44B8" w:rsidRDefault="003B44B8" w:rsidP="003B44B8">
      <w:pPr>
        <w:ind w:left="360"/>
        <w:jc w:val="center"/>
        <w:rPr>
          <w:rFonts w:ascii="Avenir" w:eastAsia="Avenir" w:hAnsi="Avenir" w:cs="Avenir"/>
          <w:color w:val="1155CC"/>
          <w:u w:val="single"/>
        </w:rPr>
      </w:pPr>
      <w:r>
        <w:rPr>
          <w:rFonts w:ascii="Avenir" w:eastAsia="Avenir" w:hAnsi="Avenir" w:cs="Avenir"/>
        </w:rPr>
        <w:t xml:space="preserve">Source: </w:t>
      </w:r>
      <w:hyperlink r:id="rId20" w:history="1">
        <w:r w:rsidR="00623D53" w:rsidRPr="007E6DA0">
          <w:rPr>
            <w:rStyle w:val="Hyperlink"/>
          </w:rPr>
          <w:t>Wall Street Journal</w:t>
        </w:r>
      </w:hyperlink>
    </w:p>
    <w:p w14:paraId="16D4BB9F" w14:textId="77777777" w:rsidR="004F6014" w:rsidRDefault="004F6014" w:rsidP="003B44B8">
      <w:pPr>
        <w:ind w:left="360"/>
        <w:jc w:val="center"/>
        <w:rPr>
          <w:rFonts w:ascii="Avenir" w:eastAsia="Avenir" w:hAnsi="Avenir" w:cs="Avenir"/>
        </w:rPr>
      </w:pPr>
    </w:p>
    <w:p w14:paraId="7879B08F" w14:textId="77777777" w:rsidR="00D75C33" w:rsidRPr="001470E4" w:rsidRDefault="00D75C33" w:rsidP="00714486">
      <w:pPr>
        <w:ind w:right="360"/>
        <w:jc w:val="center"/>
        <w:rPr>
          <w:rFonts w:eastAsia="Avenir" w:cstheme="minorHAnsi"/>
        </w:rPr>
      </w:pPr>
    </w:p>
    <w:p w14:paraId="5B3C9025" w14:textId="77777777" w:rsidR="00CE62F7" w:rsidRPr="00C40488" w:rsidRDefault="00CE62F7" w:rsidP="00C40488">
      <w:pPr>
        <w:pStyle w:val="Heading2"/>
        <w:ind w:right="360"/>
        <w:rPr>
          <w:rFonts w:asciiTheme="minorHAnsi" w:eastAsia="Avenir" w:hAnsiTheme="minorHAnsi" w:cstheme="minorHAnsi"/>
          <w:color w:val="005EA4"/>
        </w:rPr>
      </w:pPr>
      <w:r w:rsidRPr="00C40488">
        <w:rPr>
          <w:rFonts w:asciiTheme="minorHAnsi" w:eastAsia="Avenir" w:hAnsiTheme="minorHAnsi" w:cstheme="minorHAnsi"/>
          <w:color w:val="005EA4"/>
        </w:rPr>
        <w:lastRenderedPageBreak/>
        <w:t>Fed Cuts Rates but Projects Fewer Cuts in 2025</w:t>
      </w:r>
    </w:p>
    <w:p w14:paraId="2465D5E9" w14:textId="5165D321" w:rsidR="002C2526" w:rsidRDefault="002C2526" w:rsidP="002C2526">
      <w:r w:rsidRPr="00C40488">
        <w:rPr>
          <w:color w:val="58595B"/>
        </w:rPr>
        <w:t>Taking very few by surprise, the Fed cut its key interest rate in December by a quarter point to 4.25% to 4.5%. What did surprise many was that the Fed now plans fewer rate cuts in 2025 than previously anticipated. In September</w:t>
      </w:r>
      <w:r w:rsidR="00F1553D">
        <w:rPr>
          <w:color w:val="58595B"/>
        </w:rPr>
        <w:t>,</w:t>
      </w:r>
      <w:r w:rsidRPr="00C40488">
        <w:rPr>
          <w:color w:val="58595B"/>
        </w:rPr>
        <w:t xml:space="preserve"> the central bank planned to lower rates four times in 2025. That number now stands at two interest rate cuts of a quarter-point each. Remarks from Fed Chairman Jerome Powell backed up this thinking and pointed to a more "neutral" approach to cuts in 2025, meaning just enough to keep the economy going without overheating and adding to inflation. According to Powell, "I think that a slower pace of (rate) cuts really reflects both the higher inflation readings we’ve had this year and the expectations that inflation will be higher." The Fed is also navigating new uncertainties likely coming in 2025, including a wide range of tax cuts from the Trump administration -- which could stimulate </w:t>
      </w:r>
      <w:r w:rsidR="00750595">
        <w:rPr>
          <w:color w:val="58595B"/>
        </w:rPr>
        <w:t>growth</w:t>
      </w:r>
      <w:r w:rsidRPr="00C40488">
        <w:rPr>
          <w:color w:val="58595B"/>
        </w:rPr>
        <w:t xml:space="preserve"> -- and a variety of potential tariffs, which could add to inflation</w:t>
      </w:r>
      <w:r>
        <w:t xml:space="preserve">. </w:t>
      </w:r>
      <w:hyperlink r:id="rId21" w:history="1">
        <w:r w:rsidRPr="00380122">
          <w:rPr>
            <w:rStyle w:val="Hyperlink"/>
          </w:rPr>
          <w:t>AP News</w:t>
        </w:r>
      </w:hyperlink>
    </w:p>
    <w:p w14:paraId="2AD58F31" w14:textId="77777777" w:rsidR="00BB0C49" w:rsidRPr="00C40488" w:rsidRDefault="00BB0C49" w:rsidP="00C40488">
      <w:pPr>
        <w:pStyle w:val="Heading2"/>
        <w:ind w:right="360"/>
        <w:rPr>
          <w:rFonts w:asciiTheme="minorHAnsi" w:eastAsia="Avenir" w:hAnsiTheme="minorHAnsi" w:cstheme="minorHAnsi"/>
          <w:color w:val="005EA4"/>
        </w:rPr>
      </w:pPr>
      <w:r w:rsidRPr="00C40488">
        <w:rPr>
          <w:rFonts w:asciiTheme="minorHAnsi" w:eastAsia="Avenir" w:hAnsiTheme="minorHAnsi" w:cstheme="minorHAnsi"/>
          <w:color w:val="005EA4"/>
        </w:rPr>
        <w:t>Mortgage Rates Remain High</w:t>
      </w:r>
    </w:p>
    <w:p w14:paraId="129C922A" w14:textId="18863FCE" w:rsidR="00BD19FA" w:rsidRDefault="00BD19FA" w:rsidP="00BD19FA">
      <w:r w:rsidRPr="00C40488">
        <w:rPr>
          <w:color w:val="58595B"/>
        </w:rPr>
        <w:t>Mortgage rates rose again in December, closing out 2024 about where they began. The average rate on the benchmark 30-year fixed-rate mortgage was 6.85% for the last week in December, up from the 6.72% reading for the week earlier, according to data from Freddie Mac. While that's down from recent highs of nearly 8%, interest rate cuts by the Fed have not translated into lower mortgage rates as many hoped. One of the big drivers of those stubborn rates is that mortgage rates react less to cuts by the Fed -- which tend to mirror shorter term rates -- and more to the movement in longer term rates like the 10-year Treasury Note, which remains elevated. With inflation remaining above the Fed's target rate of 2%, yield on the 10-year Treasury will likely stay higher in 2025 and, as a result, mortgage rates will likely not fall as much as many would like.</w:t>
      </w:r>
      <w:r>
        <w:t xml:space="preserve"> </w:t>
      </w:r>
      <w:hyperlink r:id="rId22" w:history="1">
        <w:r w:rsidRPr="00B44E6E">
          <w:rPr>
            <w:rStyle w:val="Hyperlink"/>
          </w:rPr>
          <w:t>Yahoo Finance</w:t>
        </w:r>
      </w:hyperlink>
    </w:p>
    <w:p w14:paraId="0E5DB584" w14:textId="77777777" w:rsidR="004E5995" w:rsidRPr="00C40488" w:rsidRDefault="004E5995" w:rsidP="00C40488">
      <w:pPr>
        <w:pStyle w:val="Heading2"/>
        <w:ind w:right="360"/>
        <w:rPr>
          <w:rFonts w:asciiTheme="minorHAnsi" w:eastAsia="Avenir" w:hAnsiTheme="minorHAnsi" w:cstheme="minorHAnsi"/>
          <w:color w:val="005EA4"/>
        </w:rPr>
      </w:pPr>
      <w:r w:rsidRPr="00C40488">
        <w:rPr>
          <w:rFonts w:asciiTheme="minorHAnsi" w:eastAsia="Avenir" w:hAnsiTheme="minorHAnsi" w:cstheme="minorHAnsi"/>
          <w:color w:val="005EA4"/>
        </w:rPr>
        <w:t>Job Growth Rises Again</w:t>
      </w:r>
    </w:p>
    <w:p w14:paraId="6355DD04" w14:textId="1471B071" w:rsidR="00C40488" w:rsidRDefault="00C40488" w:rsidP="00C40488">
      <w:pPr>
        <w:spacing w:after="160" w:line="259" w:lineRule="auto"/>
      </w:pPr>
      <w:r w:rsidRPr="00C40488">
        <w:rPr>
          <w:color w:val="58595B"/>
        </w:rPr>
        <w:t>The US economy added 227,000 jobs in November, according to the latest data from the US Bureau of Labor Statistics. The results outpaced analysts' estimates, which called for November adding 200,000 jobs. November's results were also a significant improvement from October's initial report of just 12,000 jobs added, which were distorted by striking workers and hurricane-related reductions. And while October was revised up to a net gain of 36,000 jobs, the month still represented the lowest monthly increase since December 2020. Healthcare, government, and leisure and hospitality drove last month's gains, as they have for much of the past year. Wage growth was also stronger than anticipated, up 0.4% for November and 4% compared to a year-ago. The US has now added jobs for 47 consecutive months, marking the third longest expansion. However, the unemployment rate rose to 4.2% in November from 4.1%</w:t>
      </w:r>
      <w:r w:rsidR="0049544F">
        <w:rPr>
          <w:color w:val="58595B"/>
        </w:rPr>
        <w:t>,</w:t>
      </w:r>
      <w:r w:rsidRPr="00C40488">
        <w:rPr>
          <w:color w:val="58595B"/>
        </w:rPr>
        <w:t xml:space="preserve"> and a growing number of workers are taking longer to find a job, both signs that the labor market is cooling as many expected.</w:t>
      </w:r>
      <w:r>
        <w:t xml:space="preserve"> </w:t>
      </w:r>
      <w:hyperlink r:id="rId23" w:history="1">
        <w:r w:rsidRPr="00B44E6E">
          <w:rPr>
            <w:rStyle w:val="Hyperlink"/>
          </w:rPr>
          <w:t>CNN</w:t>
        </w:r>
      </w:hyperlink>
    </w:p>
    <w:p w14:paraId="642DE185" w14:textId="77777777" w:rsidR="00E729B6" w:rsidRPr="00545D21" w:rsidRDefault="00E729B6" w:rsidP="00E729B6">
      <w:pPr>
        <w:rPr>
          <w:rFonts w:eastAsia="Avenir" w:cstheme="minorHAnsi"/>
        </w:rPr>
      </w:pPr>
    </w:p>
    <w:p w14:paraId="6559A5B9" w14:textId="559EF8D0" w:rsidR="00BA3AC9" w:rsidRPr="000B3FB0" w:rsidRDefault="00BA3AC9" w:rsidP="006F28A9">
      <w:pPr>
        <w:ind w:right="360"/>
        <w:rPr>
          <w:rFonts w:eastAsia="Avenir" w:cstheme="minorHAnsi"/>
          <w:color w:val="999999"/>
          <w:sz w:val="16"/>
          <w:szCs w:val="16"/>
        </w:rPr>
      </w:pPr>
      <w:r w:rsidRPr="000B3FB0">
        <w:rPr>
          <w:rFonts w:eastAsia="Avenir" w:cstheme="minorHAnsi"/>
          <w:color w:val="999999"/>
          <w:sz w:val="16"/>
          <w:szCs w:val="16"/>
        </w:rPr>
        <w:t xml:space="preserve">This research material was prepared by </w:t>
      </w:r>
      <w:r w:rsidR="00C64F63">
        <w:rPr>
          <w:rFonts w:eastAsia="Avenir" w:cstheme="minorHAnsi"/>
          <w:color w:val="999999"/>
          <w:sz w:val="16"/>
          <w:szCs w:val="16"/>
        </w:rPr>
        <w:t>Burritt Research, Inc</w:t>
      </w:r>
      <w:r w:rsidRPr="000B3FB0">
        <w:rPr>
          <w:rFonts w:eastAsia="Avenir" w:cstheme="minorHAnsi"/>
          <w:color w:val="999999"/>
          <w:sz w:val="16"/>
          <w:szCs w:val="16"/>
        </w:rPr>
        <w:t>.</w:t>
      </w:r>
    </w:p>
    <w:p w14:paraId="6645C804" w14:textId="77777777" w:rsidR="00FE629C" w:rsidRPr="000B3FB0" w:rsidRDefault="00FE629C" w:rsidP="006F28A9">
      <w:pPr>
        <w:ind w:right="360"/>
        <w:rPr>
          <w:rFonts w:eastAsia="Avenir" w:cstheme="minorHAnsi"/>
          <w:color w:val="999999"/>
          <w:sz w:val="16"/>
          <w:szCs w:val="16"/>
        </w:rPr>
      </w:pPr>
    </w:p>
    <w:p w14:paraId="099737C6" w14:textId="77777777" w:rsidR="00B106D8" w:rsidRDefault="00B106D8" w:rsidP="00B106D8">
      <w:pPr>
        <w:ind w:right="360"/>
        <w:rPr>
          <w:rFonts w:ascii="Avenir" w:eastAsia="Avenir" w:hAnsi="Avenir" w:cs="Avenir"/>
          <w:b/>
          <w:color w:val="999999"/>
          <w:sz w:val="16"/>
          <w:szCs w:val="16"/>
        </w:rPr>
      </w:pPr>
      <w:r>
        <w:rPr>
          <w:rFonts w:ascii="Avenir" w:eastAsia="Avenir" w:hAnsi="Avenir" w:cs="Avenir"/>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Pr>
          <w:rFonts w:ascii="Avenir" w:eastAsia="Avenir" w:hAnsi="Avenir" w:cs="Avenir"/>
          <w:b/>
          <w:color w:val="999999"/>
          <w:sz w:val="16"/>
          <w:szCs w:val="16"/>
        </w:rPr>
        <w:t>Past performance does not guarantee future results.</w:t>
      </w:r>
    </w:p>
    <w:p w14:paraId="094364AD" w14:textId="77777777" w:rsidR="00B106D8" w:rsidRDefault="00B106D8" w:rsidP="00B106D8">
      <w:pPr>
        <w:ind w:right="360"/>
        <w:rPr>
          <w:rFonts w:ascii="Avenir" w:eastAsia="Avenir" w:hAnsi="Avenir" w:cs="Avenir"/>
          <w:b/>
          <w:color w:val="999999"/>
          <w:sz w:val="16"/>
          <w:szCs w:val="16"/>
        </w:rPr>
      </w:pPr>
    </w:p>
    <w:p w14:paraId="7979E7BB"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77777777" w:rsidR="00B106D8" w:rsidRDefault="00B106D8" w:rsidP="00B106D8">
      <w:pPr>
        <w:ind w:right="360"/>
        <w:rPr>
          <w:rFonts w:ascii="Avenir" w:eastAsia="Avenir" w:hAnsi="Avenir" w:cs="Avenir"/>
          <w:color w:val="999999"/>
          <w:sz w:val="16"/>
          <w:szCs w:val="16"/>
        </w:rPr>
      </w:pPr>
    </w:p>
    <w:p w14:paraId="4AAE2B8F"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16C9F6E7" w14:textId="77777777" w:rsidR="00B106D8" w:rsidRDefault="00B106D8" w:rsidP="00B106D8">
      <w:pPr>
        <w:ind w:right="360"/>
        <w:rPr>
          <w:rFonts w:ascii="Avenir" w:eastAsia="Avenir" w:hAnsi="Avenir" w:cs="Avenir"/>
          <w:color w:val="999999"/>
          <w:sz w:val="16"/>
          <w:szCs w:val="16"/>
        </w:rPr>
      </w:pPr>
    </w:p>
    <w:p w14:paraId="5D11A940"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Default="00B106D8" w:rsidP="00B106D8">
      <w:pPr>
        <w:ind w:right="360"/>
        <w:rPr>
          <w:rFonts w:ascii="Avenir" w:eastAsia="Avenir" w:hAnsi="Avenir" w:cs="Avenir"/>
          <w:color w:val="999999"/>
          <w:sz w:val="16"/>
          <w:szCs w:val="16"/>
        </w:rPr>
      </w:pPr>
    </w:p>
    <w:p w14:paraId="7A01E923"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3659DFF2" w14:textId="77777777" w:rsidR="00B106D8" w:rsidRDefault="00B106D8" w:rsidP="00B106D8">
      <w:pPr>
        <w:ind w:right="360"/>
        <w:rPr>
          <w:rFonts w:ascii="Avenir" w:eastAsia="Avenir" w:hAnsi="Avenir" w:cs="Avenir"/>
          <w:color w:val="999999"/>
          <w:sz w:val="16"/>
          <w:szCs w:val="16"/>
        </w:rPr>
      </w:pPr>
    </w:p>
    <w:p w14:paraId="30F1270C"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 xml:space="preserve">The Conference Board creates the Present Situation Index (PSI) from survey data of approximately 5000 households across the United States to gauge public opinion about the U.S. economy.  When the index is positive, people feel good about the current economic situation.  When negative, people are less optimistic.  </w:t>
      </w:r>
      <w:r>
        <w:rPr>
          <w:rFonts w:ascii="Avenir" w:eastAsia="Avenir" w:hAnsi="Avenir" w:cs="Avenir"/>
          <w:color w:val="999999"/>
          <w:sz w:val="16"/>
          <w:szCs w:val="16"/>
        </w:rPr>
        <w:lastRenderedPageBreak/>
        <w:t xml:space="preserve">The (PSI) along with the Expectations Index are used by The Conference Board to create the Consumer Confidence Index (CCI) which tells us how optimistic (or not) people are about the future of the economy.  </w:t>
      </w:r>
    </w:p>
    <w:p w14:paraId="2E73D2EC" w14:textId="77777777" w:rsidR="00B106D8" w:rsidRDefault="00B106D8" w:rsidP="00B106D8">
      <w:pPr>
        <w:ind w:right="360"/>
        <w:rPr>
          <w:rFonts w:ascii="Avenir" w:eastAsia="Avenir" w:hAnsi="Avenir" w:cs="Avenir"/>
          <w:color w:val="999999"/>
          <w:sz w:val="16"/>
          <w:szCs w:val="16"/>
        </w:rPr>
      </w:pPr>
    </w:p>
    <w:p w14:paraId="2C6F803A" w14:textId="77777777" w:rsidR="00B106D8" w:rsidRDefault="00B106D8" w:rsidP="00B106D8">
      <w:pPr>
        <w:ind w:right="360"/>
        <w:rPr>
          <w:rFonts w:ascii="Avenir" w:eastAsia="Avenir" w:hAnsi="Avenir" w:cs="Avenir"/>
          <w:color w:val="999999"/>
          <w:sz w:val="16"/>
          <w:szCs w:val="16"/>
        </w:rPr>
      </w:pPr>
      <w:r>
        <w:rPr>
          <w:rFonts w:ascii="Avenir" w:eastAsia="Avenir" w:hAnsi="Avenir" w:cs="Avenir"/>
          <w:color w:val="999999"/>
          <w:sz w:val="16"/>
          <w:szCs w:val="16"/>
        </w:rPr>
        <w:t>The Expectations Index is a component of the Consumer Confidence Index® (CCI), which is published each month by the Conference Board. The CCI reflects consumers’ short-term—that is, six-month—outlook for, and sentiment about, the performance of the overall economy as it effects them. The Expectations Index is made up of the average of the CCI components that deal with six-month outlooks for business, employment, and income.</w:t>
      </w:r>
    </w:p>
    <w:p w14:paraId="4C96F867" w14:textId="77777777" w:rsidR="00B106D8" w:rsidRDefault="00B106D8" w:rsidP="00B106D8">
      <w:pPr>
        <w:ind w:right="360"/>
        <w:rPr>
          <w:rFonts w:ascii="Avenir" w:eastAsia="Avenir" w:hAnsi="Avenir" w:cs="Avenir"/>
          <w:color w:val="999999"/>
          <w:sz w:val="16"/>
          <w:szCs w:val="16"/>
        </w:rPr>
      </w:pPr>
    </w:p>
    <w:p w14:paraId="4568CBF8" w14:textId="77777777" w:rsidR="00FC7BD6" w:rsidRPr="004D480C" w:rsidRDefault="00FC7BD6" w:rsidP="00BF0243">
      <w:pPr>
        <w:widowControl/>
        <w:rPr>
          <w:rFonts w:cstheme="minorHAnsi"/>
          <w:color w:val="58595B"/>
          <w:sz w:val="16"/>
          <w:szCs w:val="16"/>
        </w:rPr>
      </w:pPr>
    </w:p>
    <w:p w14:paraId="38BAF61A" w14:textId="77777777" w:rsidR="00FC7BD6" w:rsidRPr="004D480C" w:rsidRDefault="00FC7BD6" w:rsidP="00BF0243">
      <w:pPr>
        <w:widowControl/>
        <w:rPr>
          <w:rFonts w:cstheme="minorHAnsi"/>
          <w:color w:val="58595B"/>
          <w:sz w:val="16"/>
          <w:szCs w:val="16"/>
        </w:rPr>
      </w:pPr>
    </w:p>
    <w:p w14:paraId="0A6BBA20" w14:textId="77777777" w:rsidR="00FC7BD6" w:rsidRPr="004D480C" w:rsidRDefault="00FC7BD6" w:rsidP="00BF0243">
      <w:pPr>
        <w:widowControl/>
        <w:rPr>
          <w:rFonts w:cstheme="minorHAnsi"/>
          <w:color w:val="58595B"/>
          <w:sz w:val="16"/>
          <w:szCs w:val="16"/>
        </w:rPr>
      </w:pPr>
    </w:p>
    <w:p w14:paraId="0518F089" w14:textId="77777777" w:rsidR="00FC7BD6" w:rsidRPr="004D480C" w:rsidRDefault="00FC7BD6" w:rsidP="00BF0243">
      <w:pPr>
        <w:widowControl/>
        <w:rPr>
          <w:rFonts w:cstheme="minorHAnsi"/>
          <w:color w:val="58595B"/>
          <w:sz w:val="16"/>
          <w:szCs w:val="16"/>
        </w:rPr>
      </w:pPr>
    </w:p>
    <w:p w14:paraId="6069CDA4" w14:textId="77777777" w:rsidR="00FC7BD6" w:rsidRPr="004D480C" w:rsidRDefault="00FC7BD6" w:rsidP="00BF0243">
      <w:pPr>
        <w:widowControl/>
        <w:rPr>
          <w:rFonts w:cstheme="minorHAnsi"/>
          <w:color w:val="58595B"/>
          <w:sz w:val="16"/>
          <w:szCs w:val="16"/>
        </w:rPr>
      </w:pPr>
    </w:p>
    <w:p w14:paraId="4ADDCB0E" w14:textId="77777777" w:rsidR="00FC7BD6" w:rsidRPr="004D480C" w:rsidRDefault="00FC7BD6" w:rsidP="00BF0243">
      <w:pPr>
        <w:widowControl/>
        <w:rPr>
          <w:rFonts w:cstheme="minorHAnsi"/>
          <w:color w:val="58595B"/>
          <w:sz w:val="16"/>
          <w:szCs w:val="16"/>
        </w:rPr>
      </w:pPr>
    </w:p>
    <w:p w14:paraId="2667C1EC" w14:textId="77777777" w:rsidR="00FC7BD6" w:rsidRPr="004D480C" w:rsidRDefault="00FC7BD6" w:rsidP="00BF0243">
      <w:pPr>
        <w:widowControl/>
        <w:rPr>
          <w:rFonts w:cstheme="minorHAnsi"/>
          <w:color w:val="58595B"/>
          <w:sz w:val="16"/>
          <w:szCs w:val="16"/>
        </w:rPr>
      </w:pPr>
    </w:p>
    <w:p w14:paraId="620F70BB" w14:textId="77777777" w:rsidR="00FC7BD6" w:rsidRDefault="00FC7BD6" w:rsidP="00BF0243">
      <w:pPr>
        <w:widowControl/>
        <w:rPr>
          <w:rFonts w:cstheme="minorHAnsi"/>
          <w:color w:val="58595B"/>
          <w:sz w:val="16"/>
          <w:szCs w:val="16"/>
        </w:rPr>
      </w:pPr>
    </w:p>
    <w:p w14:paraId="4977CD48" w14:textId="77777777" w:rsidR="00142FBF" w:rsidRDefault="00142FBF" w:rsidP="00BF0243">
      <w:pPr>
        <w:widowControl/>
        <w:rPr>
          <w:rFonts w:cstheme="minorHAnsi"/>
          <w:color w:val="58595B"/>
          <w:sz w:val="16"/>
          <w:szCs w:val="16"/>
        </w:rPr>
      </w:pPr>
    </w:p>
    <w:p w14:paraId="07506C3D" w14:textId="77777777" w:rsidR="00142FBF" w:rsidRDefault="00142FBF" w:rsidP="00BF0243">
      <w:pPr>
        <w:widowControl/>
        <w:rPr>
          <w:rFonts w:cstheme="minorHAnsi"/>
          <w:color w:val="58595B"/>
          <w:sz w:val="16"/>
          <w:szCs w:val="16"/>
        </w:rPr>
      </w:pPr>
    </w:p>
    <w:p w14:paraId="61130F11" w14:textId="77777777" w:rsidR="00142FBF" w:rsidRDefault="00142FBF" w:rsidP="00BF0243">
      <w:pPr>
        <w:widowControl/>
        <w:rPr>
          <w:rFonts w:cstheme="minorHAnsi"/>
          <w:color w:val="58595B"/>
          <w:sz w:val="16"/>
          <w:szCs w:val="16"/>
        </w:rPr>
      </w:pPr>
    </w:p>
    <w:p w14:paraId="375CB763" w14:textId="77777777" w:rsidR="00142FBF" w:rsidRDefault="00142FBF" w:rsidP="00BF0243">
      <w:pPr>
        <w:widowControl/>
        <w:rPr>
          <w:rFonts w:cstheme="minorHAnsi"/>
          <w:color w:val="58595B"/>
          <w:sz w:val="16"/>
          <w:szCs w:val="16"/>
        </w:rPr>
      </w:pPr>
    </w:p>
    <w:p w14:paraId="04F8488E" w14:textId="77777777" w:rsidR="00142FBF" w:rsidRDefault="00142FBF" w:rsidP="00BF0243">
      <w:pPr>
        <w:widowControl/>
        <w:rPr>
          <w:rFonts w:cstheme="minorHAnsi"/>
          <w:color w:val="58595B"/>
          <w:sz w:val="16"/>
          <w:szCs w:val="16"/>
        </w:rPr>
      </w:pPr>
    </w:p>
    <w:p w14:paraId="6C24011B" w14:textId="77777777" w:rsidR="00142FBF" w:rsidRDefault="00142FBF" w:rsidP="00BF0243">
      <w:pPr>
        <w:widowControl/>
        <w:rPr>
          <w:rFonts w:cstheme="minorHAnsi"/>
          <w:color w:val="58595B"/>
          <w:sz w:val="16"/>
          <w:szCs w:val="16"/>
        </w:rPr>
      </w:pPr>
    </w:p>
    <w:p w14:paraId="30E94DCA" w14:textId="77777777" w:rsidR="00142FBF" w:rsidRDefault="00142FBF" w:rsidP="00BF0243">
      <w:pPr>
        <w:widowControl/>
        <w:rPr>
          <w:rFonts w:cstheme="minorHAnsi"/>
          <w:color w:val="58595B"/>
          <w:sz w:val="16"/>
          <w:szCs w:val="16"/>
        </w:rPr>
      </w:pPr>
    </w:p>
    <w:p w14:paraId="7890F22D" w14:textId="77777777" w:rsidR="00142FBF" w:rsidRDefault="00142FBF" w:rsidP="00BF0243">
      <w:pPr>
        <w:widowControl/>
        <w:rPr>
          <w:rFonts w:cstheme="minorHAnsi"/>
          <w:color w:val="58595B"/>
          <w:sz w:val="16"/>
          <w:szCs w:val="16"/>
        </w:rPr>
      </w:pPr>
    </w:p>
    <w:p w14:paraId="1AE89BB4" w14:textId="77777777" w:rsidR="00142FBF" w:rsidRDefault="00142FBF" w:rsidP="00BF0243">
      <w:pPr>
        <w:widowControl/>
        <w:rPr>
          <w:rFonts w:cstheme="minorHAnsi"/>
          <w:color w:val="58595B"/>
          <w:sz w:val="16"/>
          <w:szCs w:val="16"/>
        </w:rPr>
      </w:pPr>
    </w:p>
    <w:p w14:paraId="5C754237" w14:textId="77777777" w:rsidR="00142FBF" w:rsidRDefault="00142FBF" w:rsidP="00BF0243">
      <w:pPr>
        <w:widowControl/>
        <w:rPr>
          <w:rFonts w:cstheme="minorHAnsi"/>
          <w:color w:val="58595B"/>
          <w:sz w:val="16"/>
          <w:szCs w:val="16"/>
        </w:rPr>
      </w:pPr>
    </w:p>
    <w:p w14:paraId="7D661BCD" w14:textId="77777777" w:rsidR="00142FBF" w:rsidRPr="004D480C" w:rsidRDefault="00142FBF" w:rsidP="00BF0243">
      <w:pPr>
        <w:widowControl/>
        <w:rPr>
          <w:rFonts w:cstheme="minorHAnsi"/>
          <w:color w:val="58595B"/>
          <w:sz w:val="16"/>
          <w:szCs w:val="16"/>
        </w:rPr>
      </w:pPr>
    </w:p>
    <w:p w14:paraId="7FC3DB63" w14:textId="77777777" w:rsidR="00FC7BD6" w:rsidRPr="004D480C" w:rsidRDefault="00FC7BD6" w:rsidP="00BF0243">
      <w:pPr>
        <w:widowControl/>
        <w:rPr>
          <w:rFonts w:cstheme="minorHAnsi"/>
          <w:color w:val="58595B"/>
          <w:sz w:val="16"/>
          <w:szCs w:val="16"/>
        </w:rPr>
      </w:pPr>
    </w:p>
    <w:p w14:paraId="668C1BCB" w14:textId="77777777" w:rsidR="00FC7BD6" w:rsidRPr="004D480C" w:rsidRDefault="00FC7BD6" w:rsidP="00BF0243">
      <w:pPr>
        <w:widowControl/>
        <w:rPr>
          <w:rFonts w:cstheme="minorHAnsi"/>
          <w:color w:val="58595B"/>
          <w:sz w:val="16"/>
          <w:szCs w:val="16"/>
        </w:rPr>
      </w:pPr>
    </w:p>
    <w:p w14:paraId="0367BDDC" w14:textId="77777777" w:rsidR="00FC7BD6" w:rsidRPr="004D480C" w:rsidRDefault="00FC7BD6" w:rsidP="00BF0243">
      <w:pPr>
        <w:widowControl/>
        <w:rPr>
          <w:rFonts w:cstheme="minorHAnsi"/>
          <w:color w:val="58595B"/>
          <w:sz w:val="16"/>
          <w:szCs w:val="16"/>
        </w:rPr>
      </w:pPr>
    </w:p>
    <w:p w14:paraId="5008B7C6" w14:textId="77777777" w:rsidR="00F50281" w:rsidRDefault="00F50281" w:rsidP="00BF0243">
      <w:pPr>
        <w:widowControl/>
        <w:rPr>
          <w:rFonts w:cstheme="minorHAnsi"/>
          <w:color w:val="58595B"/>
          <w:sz w:val="16"/>
          <w:szCs w:val="16"/>
        </w:rPr>
      </w:pPr>
    </w:p>
    <w:p w14:paraId="1B6C734A" w14:textId="77777777" w:rsidR="00F50281" w:rsidRDefault="00F50281" w:rsidP="00BF0243">
      <w:pPr>
        <w:widowControl/>
        <w:rPr>
          <w:rFonts w:cstheme="minorHAnsi"/>
          <w:color w:val="58595B"/>
          <w:sz w:val="16"/>
          <w:szCs w:val="16"/>
        </w:rPr>
      </w:pPr>
    </w:p>
    <w:p w14:paraId="4B5ABAF7" w14:textId="77777777" w:rsidR="00C71FF6" w:rsidRDefault="00C71FF6" w:rsidP="00BF0243">
      <w:pPr>
        <w:widowControl/>
        <w:rPr>
          <w:rFonts w:cstheme="minorHAnsi"/>
          <w:color w:val="58595B"/>
          <w:sz w:val="16"/>
          <w:szCs w:val="16"/>
        </w:rPr>
      </w:pPr>
    </w:p>
    <w:p w14:paraId="12E2299D" w14:textId="77777777" w:rsidR="00F50281" w:rsidRDefault="00F50281" w:rsidP="00BF0243">
      <w:pPr>
        <w:widowControl/>
        <w:rPr>
          <w:rFonts w:cstheme="minorHAnsi"/>
          <w:color w:val="58595B"/>
          <w:sz w:val="16"/>
          <w:szCs w:val="16"/>
        </w:rPr>
      </w:pPr>
    </w:p>
    <w:p w14:paraId="19B0EA63" w14:textId="77777777" w:rsidR="004B5874" w:rsidRDefault="004B5874" w:rsidP="00BF0243">
      <w:pPr>
        <w:widowControl/>
        <w:rPr>
          <w:rFonts w:cstheme="minorHAnsi"/>
          <w:color w:val="58595B"/>
          <w:sz w:val="16"/>
          <w:szCs w:val="16"/>
        </w:rPr>
      </w:pPr>
    </w:p>
    <w:p w14:paraId="702B6F5B" w14:textId="77777777" w:rsidR="00142FBF" w:rsidRDefault="00142FBF" w:rsidP="00BF0243">
      <w:pPr>
        <w:widowControl/>
        <w:rPr>
          <w:rFonts w:cstheme="minorHAnsi"/>
          <w:color w:val="58595B"/>
          <w:sz w:val="16"/>
          <w:szCs w:val="16"/>
        </w:rPr>
      </w:pPr>
    </w:p>
    <w:p w14:paraId="5959F8D0" w14:textId="77777777" w:rsidR="00142FBF" w:rsidRDefault="00142FBF" w:rsidP="00BF0243">
      <w:pPr>
        <w:widowControl/>
        <w:rPr>
          <w:rFonts w:cstheme="minorHAnsi"/>
          <w:color w:val="58595B"/>
          <w:sz w:val="16"/>
          <w:szCs w:val="16"/>
        </w:rPr>
      </w:pPr>
    </w:p>
    <w:p w14:paraId="1D7CF6A3" w14:textId="77777777" w:rsidR="00142FBF" w:rsidRDefault="00142FBF" w:rsidP="00BF0243">
      <w:pPr>
        <w:widowControl/>
        <w:rPr>
          <w:rFonts w:cstheme="minorHAnsi"/>
          <w:color w:val="58595B"/>
          <w:sz w:val="16"/>
          <w:szCs w:val="16"/>
        </w:rPr>
      </w:pPr>
    </w:p>
    <w:p w14:paraId="6F7AC2D0" w14:textId="77777777" w:rsidR="00142FBF" w:rsidRDefault="00142FBF" w:rsidP="00BF0243">
      <w:pPr>
        <w:widowControl/>
        <w:rPr>
          <w:rFonts w:cstheme="minorHAnsi"/>
          <w:color w:val="58595B"/>
          <w:sz w:val="16"/>
          <w:szCs w:val="16"/>
        </w:rPr>
      </w:pPr>
    </w:p>
    <w:p w14:paraId="6BECC7B6" w14:textId="77777777" w:rsidR="00142FBF" w:rsidRDefault="00142FBF" w:rsidP="00BF0243">
      <w:pPr>
        <w:widowControl/>
        <w:rPr>
          <w:rFonts w:cstheme="minorHAnsi"/>
          <w:color w:val="58595B"/>
          <w:sz w:val="16"/>
          <w:szCs w:val="16"/>
        </w:rPr>
      </w:pPr>
    </w:p>
    <w:p w14:paraId="75488742" w14:textId="77777777" w:rsidR="00142FBF" w:rsidRDefault="00142FBF" w:rsidP="00BF0243">
      <w:pPr>
        <w:widowControl/>
        <w:rPr>
          <w:rFonts w:cstheme="minorHAnsi"/>
          <w:color w:val="58595B"/>
          <w:sz w:val="16"/>
          <w:szCs w:val="16"/>
        </w:rPr>
      </w:pPr>
    </w:p>
    <w:p w14:paraId="31C595E0" w14:textId="77777777" w:rsidR="00142FBF" w:rsidRDefault="00142FBF" w:rsidP="00BF0243">
      <w:pPr>
        <w:widowControl/>
        <w:rPr>
          <w:rFonts w:cstheme="minorHAnsi"/>
          <w:color w:val="58595B"/>
          <w:sz w:val="16"/>
          <w:szCs w:val="16"/>
        </w:rPr>
      </w:pPr>
    </w:p>
    <w:p w14:paraId="7A000DCB" w14:textId="77777777" w:rsidR="00142FBF" w:rsidRDefault="00142FBF" w:rsidP="00BF0243">
      <w:pPr>
        <w:widowControl/>
        <w:rPr>
          <w:rFonts w:cstheme="minorHAnsi"/>
          <w:color w:val="58595B"/>
          <w:sz w:val="16"/>
          <w:szCs w:val="16"/>
        </w:rPr>
      </w:pPr>
    </w:p>
    <w:p w14:paraId="6EBC3B37" w14:textId="77777777" w:rsidR="00142FBF" w:rsidRDefault="00142FBF" w:rsidP="00BF0243">
      <w:pPr>
        <w:widowControl/>
        <w:rPr>
          <w:rFonts w:cstheme="minorHAnsi"/>
          <w:color w:val="58595B"/>
          <w:sz w:val="16"/>
          <w:szCs w:val="16"/>
        </w:rPr>
      </w:pPr>
    </w:p>
    <w:p w14:paraId="07A37276" w14:textId="77777777" w:rsidR="00142FBF" w:rsidRDefault="00142FBF" w:rsidP="00BF0243">
      <w:pPr>
        <w:widowControl/>
        <w:rPr>
          <w:rFonts w:cstheme="minorHAnsi"/>
          <w:color w:val="58595B"/>
          <w:sz w:val="16"/>
          <w:szCs w:val="16"/>
        </w:rPr>
      </w:pPr>
    </w:p>
    <w:p w14:paraId="3258E4AF" w14:textId="77777777" w:rsidR="00142FBF" w:rsidRDefault="00142FBF" w:rsidP="00BF0243">
      <w:pPr>
        <w:widowControl/>
        <w:rPr>
          <w:rFonts w:cstheme="minorHAnsi"/>
          <w:color w:val="58595B"/>
          <w:sz w:val="16"/>
          <w:szCs w:val="16"/>
        </w:rPr>
      </w:pPr>
    </w:p>
    <w:p w14:paraId="5334336A" w14:textId="77777777" w:rsidR="00142FBF" w:rsidRPr="004D480C" w:rsidRDefault="00142FBF" w:rsidP="00BF0243">
      <w:pPr>
        <w:widowControl/>
        <w:rPr>
          <w:rFonts w:cstheme="minorHAnsi"/>
          <w:color w:val="58595B"/>
          <w:sz w:val="16"/>
          <w:szCs w:val="16"/>
        </w:rPr>
      </w:pPr>
    </w:p>
    <w:p w14:paraId="05C49B31" w14:textId="77777777" w:rsidR="00FC7BD6" w:rsidRPr="004D480C" w:rsidRDefault="00FC7BD6" w:rsidP="00BF0243">
      <w:pPr>
        <w:widowControl/>
        <w:rPr>
          <w:rFonts w:cstheme="minorHAnsi"/>
          <w:color w:val="58595B"/>
          <w:sz w:val="16"/>
          <w:szCs w:val="16"/>
        </w:rPr>
      </w:pPr>
    </w:p>
    <w:p w14:paraId="0BB0043C" w14:textId="511FD1EC" w:rsidR="00834733" w:rsidRPr="00C03AB7" w:rsidRDefault="00486DA1" w:rsidP="00BF0243">
      <w:pPr>
        <w:widowControl/>
        <w:rPr>
          <w:rFonts w:cstheme="minorHAnsi"/>
          <w:color w:val="58595B"/>
          <w:sz w:val="16"/>
          <w:szCs w:val="16"/>
        </w:rPr>
      </w:pPr>
      <w:r w:rsidRPr="00C03AB7">
        <w:rPr>
          <w:rFonts w:cstheme="minorHAnsi"/>
          <w:color w:val="58595B"/>
          <w:sz w:val="16"/>
          <w:szCs w:val="16"/>
        </w:rPr>
        <w:t>©20</w:t>
      </w:r>
      <w:r w:rsidR="00834733" w:rsidRPr="00C03AB7">
        <w:rPr>
          <w:rFonts w:cstheme="minorHAnsi"/>
          <w:color w:val="58595B"/>
          <w:sz w:val="16"/>
          <w:szCs w:val="16"/>
        </w:rPr>
        <w:t>2</w:t>
      </w:r>
      <w:r w:rsidR="001C3947">
        <w:rPr>
          <w:rFonts w:cstheme="minorHAnsi"/>
          <w:color w:val="58595B"/>
          <w:sz w:val="16"/>
          <w:szCs w:val="16"/>
        </w:rPr>
        <w:t>5</w:t>
      </w:r>
      <w:r w:rsidRPr="00C03AB7">
        <w:rPr>
          <w:rFonts w:cstheme="minorHAnsi"/>
          <w:color w:val="58595B"/>
          <w:sz w:val="16"/>
          <w:szCs w:val="16"/>
        </w:rPr>
        <w:t xml:space="preserve"> </w:t>
      </w:r>
      <w:proofErr w:type="spellStart"/>
      <w:r w:rsidRPr="00C03AB7">
        <w:rPr>
          <w:rFonts w:cstheme="minorHAnsi"/>
          <w:color w:val="58595B"/>
          <w:sz w:val="16"/>
          <w:szCs w:val="16"/>
        </w:rPr>
        <w:t>Wealthcare</w:t>
      </w:r>
      <w:proofErr w:type="spellEnd"/>
      <w:r w:rsidRPr="00C03AB7">
        <w:rPr>
          <w:rFonts w:cstheme="minorHAnsi"/>
          <w:color w:val="58595B"/>
          <w:sz w:val="16"/>
          <w:szCs w:val="16"/>
        </w:rPr>
        <w:t xml:space="preserve"> Capital Management LLC</w:t>
      </w:r>
      <w:r w:rsidR="00970261">
        <w:rPr>
          <w:rFonts w:cstheme="minorHAnsi"/>
          <w:color w:val="58595B"/>
          <w:sz w:val="16"/>
          <w:szCs w:val="16"/>
        </w:rPr>
        <w:t>,</w:t>
      </w:r>
      <w:r w:rsidR="00E249E2" w:rsidRPr="00C03AB7">
        <w:rPr>
          <w:rFonts w:cstheme="minorHAnsi"/>
          <w:color w:val="58595B"/>
          <w:sz w:val="16"/>
          <w:szCs w:val="16"/>
        </w:rPr>
        <w:t xml:space="preserve"> Wealthcare Advisory Partners LLC</w:t>
      </w:r>
      <w:r w:rsidR="00970261">
        <w:rPr>
          <w:rFonts w:cstheme="minorHAnsi"/>
          <w:color w:val="58595B"/>
          <w:sz w:val="16"/>
          <w:szCs w:val="16"/>
        </w:rPr>
        <w:t xml:space="preserve">, and Wealthcare </w:t>
      </w:r>
      <w:r w:rsidR="00462D29">
        <w:rPr>
          <w:rFonts w:cstheme="minorHAnsi"/>
          <w:color w:val="58595B"/>
          <w:sz w:val="16"/>
          <w:szCs w:val="16"/>
        </w:rPr>
        <w:t>Capital Partners LLC</w:t>
      </w:r>
      <w:r w:rsidR="00E249E2" w:rsidRPr="00C03AB7">
        <w:rPr>
          <w:rFonts w:cstheme="minorHAnsi"/>
          <w:color w:val="58595B"/>
          <w:sz w:val="16"/>
          <w:szCs w:val="16"/>
        </w:rPr>
        <w:t xml:space="preserve"> </w:t>
      </w:r>
      <w:r w:rsidRPr="00C03AB7">
        <w:rPr>
          <w:rFonts w:cstheme="minorHAnsi"/>
          <w:color w:val="58595B"/>
          <w:sz w:val="16"/>
          <w:szCs w:val="16"/>
        </w:rPr>
        <w:t>(</w:t>
      </w:r>
      <w:r w:rsidR="00E15CC8" w:rsidRPr="00C03AB7">
        <w:rPr>
          <w:rFonts w:cstheme="minorHAnsi"/>
          <w:color w:val="58595B"/>
          <w:sz w:val="16"/>
          <w:szCs w:val="16"/>
        </w:rPr>
        <w:t>"</w:t>
      </w:r>
      <w:r w:rsidRPr="00C03AB7">
        <w:rPr>
          <w:rFonts w:cstheme="minorHAnsi"/>
          <w:color w:val="58595B"/>
          <w:sz w:val="16"/>
          <w:szCs w:val="16"/>
        </w:rPr>
        <w:t>Wealthcare</w:t>
      </w:r>
      <w:r w:rsidR="00E15CC8" w:rsidRPr="00C03AB7">
        <w:rPr>
          <w:rFonts w:cstheme="minorHAnsi"/>
          <w:color w:val="58595B"/>
          <w:sz w:val="16"/>
          <w:szCs w:val="16"/>
        </w:rPr>
        <w:t>"</w:t>
      </w:r>
      <w:r w:rsidRPr="00C03AB7">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C03AB7" w:rsidRDefault="00FB63C1" w:rsidP="00524C3C">
      <w:pPr>
        <w:widowControl/>
        <w:spacing w:line="120" w:lineRule="auto"/>
        <w:rPr>
          <w:rFonts w:cstheme="minorHAnsi"/>
          <w:color w:val="58595B"/>
          <w:sz w:val="16"/>
          <w:szCs w:val="16"/>
        </w:rPr>
      </w:pPr>
    </w:p>
    <w:p w14:paraId="48BBA534" w14:textId="7EFF1581" w:rsidR="00834733" w:rsidRPr="00C03AB7" w:rsidRDefault="00486DA1" w:rsidP="00BF0243">
      <w:pPr>
        <w:pStyle w:val="BodyText"/>
        <w:widowControl/>
        <w:ind w:left="0"/>
        <w:rPr>
          <w:rFonts w:asciiTheme="minorHAnsi" w:eastAsiaTheme="minorEastAsia" w:hAnsiTheme="minorHAnsi" w:cstheme="minorHAnsi"/>
          <w:color w:val="58595B"/>
          <w:sz w:val="16"/>
          <w:szCs w:val="16"/>
        </w:rPr>
      </w:pPr>
      <w:r w:rsidRPr="00C03AB7">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03AB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C03AB7" w:rsidRDefault="00486DA1" w:rsidP="00BF0243">
      <w:pPr>
        <w:widowControl/>
        <w:rPr>
          <w:rFonts w:eastAsiaTheme="minorEastAsia" w:cstheme="minorHAnsi"/>
          <w:color w:val="58595B"/>
          <w:sz w:val="16"/>
          <w:szCs w:val="16"/>
        </w:rPr>
      </w:pPr>
      <w:r w:rsidRPr="00C03AB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03AB7">
        <w:rPr>
          <w:rFonts w:eastAsiaTheme="minorEastAsia" w:cstheme="minorHAnsi"/>
          <w:iCs/>
          <w:color w:val="58595B"/>
          <w:sz w:val="16"/>
          <w:szCs w:val="16"/>
        </w:rPr>
        <w:t xml:space="preserve">or guarantee a client will in all </w:t>
      </w:r>
      <w:r w:rsidRPr="00C03AB7">
        <w:rPr>
          <w:rFonts w:eastAsiaTheme="minorEastAsia" w:cstheme="minorHAnsi"/>
          <w:color w:val="58595B"/>
          <w:sz w:val="16"/>
          <w:szCs w:val="16"/>
        </w:rPr>
        <w:t>circumstances of changing personal financial goals and market conditions be able to remain in a client's Wealthcare Plan Comfort Zone®.</w:t>
      </w:r>
      <w:r w:rsidRPr="00C03AB7">
        <w:rPr>
          <w:rFonts w:eastAsiaTheme="minorEastAsia" w:cstheme="minorHAnsi"/>
          <w:i/>
          <w:iCs/>
          <w:color w:val="58595B"/>
          <w:sz w:val="16"/>
          <w:szCs w:val="16"/>
        </w:rPr>
        <w:t xml:space="preserve"> </w:t>
      </w:r>
      <w:r w:rsidRPr="00C03AB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period of time.  </w:t>
      </w:r>
    </w:p>
    <w:p w14:paraId="35D64863" w14:textId="77777777" w:rsidR="00B42635" w:rsidRPr="004D480C" w:rsidRDefault="00B42635" w:rsidP="00BF0243">
      <w:pPr>
        <w:widowControl/>
        <w:rPr>
          <w:rFonts w:eastAsiaTheme="minorEastAsia" w:cstheme="minorHAnsi"/>
          <w:color w:val="58595B"/>
          <w:sz w:val="10"/>
          <w:szCs w:val="10"/>
        </w:rPr>
      </w:pPr>
    </w:p>
    <w:p w14:paraId="3245EC30" w14:textId="77777777" w:rsidR="00C519BC" w:rsidRDefault="00C519BC" w:rsidP="00BF0243">
      <w:pPr>
        <w:widowControl/>
        <w:rPr>
          <w:rFonts w:eastAsiaTheme="minorEastAsia" w:cstheme="minorHAnsi"/>
          <w:color w:val="58595B"/>
          <w:sz w:val="16"/>
          <w:szCs w:val="16"/>
        </w:rPr>
      </w:pPr>
    </w:p>
    <w:p w14:paraId="18931756" w14:textId="77777777" w:rsidR="00462D29" w:rsidRPr="004D480C" w:rsidRDefault="00462D29" w:rsidP="00BF0243">
      <w:pPr>
        <w:widowControl/>
        <w:rPr>
          <w:rFonts w:eastAsiaTheme="minorEastAsia" w:cstheme="minorHAnsi"/>
          <w:color w:val="58595B"/>
          <w:sz w:val="16"/>
          <w:szCs w:val="16"/>
        </w:rPr>
      </w:pPr>
    </w:p>
    <w:p w14:paraId="0C7B813D" w14:textId="22FD243C" w:rsidR="005D075C" w:rsidRPr="004D480C" w:rsidRDefault="00486DA1" w:rsidP="00BF0243">
      <w:pPr>
        <w:jc w:val="center"/>
        <w:rPr>
          <w:rFonts w:eastAsia="Calibri" w:cstheme="minorHAnsi"/>
          <w:color w:val="58595B"/>
          <w:sz w:val="20"/>
          <w:szCs w:val="20"/>
        </w:rPr>
      </w:pPr>
      <w:r w:rsidRPr="004D480C">
        <w:rPr>
          <w:rFonts w:eastAsia="Calibri" w:cstheme="minorHAnsi"/>
          <w:noProof/>
          <w:color w:val="58595B"/>
          <w:sz w:val="20"/>
          <w:szCs w:val="20"/>
        </w:rPr>
        <w:drawing>
          <wp:inline distT="0" distB="0" distL="0" distR="0" wp14:anchorId="6FB7838E" wp14:editId="0240C6C1">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4D480C" w:rsidRDefault="00420166" w:rsidP="00BF0243">
      <w:pPr>
        <w:jc w:val="center"/>
        <w:rPr>
          <w:rFonts w:eastAsia="Calibri" w:cstheme="minorHAnsi"/>
          <w:color w:val="58595B"/>
          <w:sz w:val="20"/>
          <w:szCs w:val="20"/>
        </w:rPr>
      </w:pPr>
    </w:p>
    <w:p w14:paraId="10C4F9F5" w14:textId="77777777" w:rsidR="0075254C" w:rsidRPr="004D480C" w:rsidRDefault="0075254C" w:rsidP="00BF0243">
      <w:pPr>
        <w:jc w:val="center"/>
        <w:rPr>
          <w:rFonts w:eastAsia="Calibri" w:cstheme="minorHAnsi"/>
          <w:color w:val="58595B"/>
          <w:sz w:val="10"/>
          <w:szCs w:val="10"/>
        </w:rPr>
      </w:pPr>
    </w:p>
    <w:p w14:paraId="4E3A0774" w14:textId="54C850ED" w:rsidR="00DC061F" w:rsidRPr="00A65456" w:rsidRDefault="00486DA1" w:rsidP="00BF0243">
      <w:pPr>
        <w:pStyle w:val="BodyText"/>
        <w:ind w:left="0"/>
        <w:jc w:val="center"/>
        <w:rPr>
          <w:rFonts w:asciiTheme="minorHAnsi" w:hAnsiTheme="minorHAnsi" w:cstheme="minorHAnsi"/>
          <w:color w:val="58595B"/>
          <w:spacing w:val="-1"/>
        </w:rPr>
      </w:pPr>
      <w:r w:rsidRPr="00A65456">
        <w:rPr>
          <w:rFonts w:asciiTheme="minorHAnsi" w:hAnsiTheme="minorHAnsi" w:cstheme="minorHAnsi"/>
          <w:color w:val="58595B"/>
        </w:rPr>
        <w:t>Two James Center</w:t>
      </w:r>
      <w:r w:rsidR="00CC2D02" w:rsidRPr="00A65456">
        <w:rPr>
          <w:rFonts w:asciiTheme="minorHAnsi" w:hAnsiTheme="minorHAnsi" w:cstheme="minorHAnsi"/>
          <w:color w:val="58595B"/>
        </w:rPr>
        <w:t>,</w:t>
      </w:r>
      <w:r w:rsidRPr="00A65456">
        <w:rPr>
          <w:rFonts w:asciiTheme="minorHAnsi" w:hAnsiTheme="minorHAnsi" w:cstheme="minorHAnsi"/>
          <w:color w:val="58595B"/>
        </w:rPr>
        <w:t xml:space="preserve"> 102</w:t>
      </w:r>
      <w:r w:rsidR="00CC2D02" w:rsidRPr="00A65456">
        <w:rPr>
          <w:rFonts w:asciiTheme="minorHAnsi" w:hAnsiTheme="minorHAnsi" w:cstheme="minorHAnsi"/>
          <w:color w:val="58595B"/>
        </w:rPr>
        <w:t>1</w:t>
      </w:r>
      <w:r w:rsidRPr="00A65456">
        <w:rPr>
          <w:rFonts w:asciiTheme="minorHAnsi" w:hAnsiTheme="minorHAnsi" w:cstheme="minorHAnsi"/>
          <w:color w:val="58595B"/>
        </w:rPr>
        <w:t xml:space="preserve"> East Cary Street, Suite </w:t>
      </w:r>
      <w:r w:rsidR="00BB7912" w:rsidRPr="00A65456">
        <w:rPr>
          <w:rFonts w:asciiTheme="minorHAnsi" w:hAnsiTheme="minorHAnsi" w:cstheme="minorHAnsi"/>
          <w:color w:val="58595B"/>
        </w:rPr>
        <w:t>702</w:t>
      </w:r>
      <w:r w:rsidRPr="00A65456">
        <w:rPr>
          <w:rFonts w:asciiTheme="minorHAnsi" w:hAnsiTheme="minorHAnsi" w:cstheme="minorHAnsi"/>
          <w:color w:val="58595B"/>
        </w:rPr>
        <w:t xml:space="preserve"> | </w:t>
      </w:r>
      <w:r w:rsidRPr="00A65456">
        <w:rPr>
          <w:rFonts w:asciiTheme="minorHAnsi" w:hAnsiTheme="minorHAnsi" w:cstheme="minorHAnsi"/>
          <w:color w:val="58595B"/>
          <w:spacing w:val="-1"/>
        </w:rPr>
        <w:t>RICHMOND,</w:t>
      </w:r>
      <w:r w:rsidRPr="00A65456">
        <w:rPr>
          <w:rFonts w:asciiTheme="minorHAnsi" w:hAnsiTheme="minorHAnsi" w:cstheme="minorHAnsi"/>
          <w:color w:val="58595B"/>
        </w:rPr>
        <w:t xml:space="preserve"> </w:t>
      </w:r>
      <w:r w:rsidRPr="00A65456">
        <w:rPr>
          <w:rFonts w:asciiTheme="minorHAnsi" w:hAnsiTheme="minorHAnsi" w:cstheme="minorHAnsi"/>
          <w:color w:val="58595B"/>
          <w:spacing w:val="-6"/>
        </w:rPr>
        <w:t>VA</w:t>
      </w:r>
      <w:r w:rsidRPr="00A65456">
        <w:rPr>
          <w:rFonts w:asciiTheme="minorHAnsi" w:hAnsiTheme="minorHAnsi" w:cstheme="minorHAnsi"/>
          <w:color w:val="58595B"/>
        </w:rPr>
        <w:t xml:space="preserve"> 23219 | </w:t>
      </w:r>
      <w:r w:rsidRPr="00A65456">
        <w:rPr>
          <w:rFonts w:asciiTheme="minorHAnsi" w:hAnsiTheme="minorHAnsi" w:cstheme="minorHAnsi"/>
          <w:color w:val="58595B"/>
          <w:spacing w:val="-1"/>
        </w:rPr>
        <w:t>804.644.4711</w:t>
      </w:r>
    </w:p>
    <w:p w14:paraId="498CF9B2" w14:textId="79587C41" w:rsidR="00310271" w:rsidRPr="00A65456" w:rsidRDefault="00486DA1" w:rsidP="00BF0243">
      <w:pPr>
        <w:pStyle w:val="BodyText"/>
        <w:ind w:left="0"/>
        <w:jc w:val="center"/>
        <w:rPr>
          <w:rFonts w:asciiTheme="minorHAnsi" w:eastAsia="Proxima Nova Rg" w:hAnsiTheme="minorHAnsi" w:cstheme="minorHAnsi"/>
          <w:color w:val="58595B"/>
        </w:rPr>
      </w:pPr>
      <w:r w:rsidRPr="00A65456">
        <w:rPr>
          <w:rFonts w:asciiTheme="minorHAnsi" w:eastAsia="Proxima Nova Rg" w:hAnsiTheme="minorHAnsi" w:cstheme="minorHAnsi"/>
          <w:caps/>
          <w:color w:val="58595B"/>
        </w:rPr>
        <w:t>Wealthcare</w:t>
      </w:r>
      <w:r w:rsidR="005B6E90" w:rsidRPr="00A65456">
        <w:rPr>
          <w:rFonts w:asciiTheme="minorHAnsi" w:eastAsia="Proxima Nova Rg" w:hAnsiTheme="minorHAnsi" w:cstheme="minorHAnsi"/>
          <w:caps/>
          <w:color w:val="58595B"/>
        </w:rPr>
        <w:t>GDX</w:t>
      </w:r>
      <w:r w:rsidRPr="00A65456">
        <w:rPr>
          <w:rFonts w:asciiTheme="minorHAnsi" w:eastAsia="Proxima Nova Rg" w:hAnsiTheme="minorHAnsi" w:cstheme="minorHAnsi"/>
          <w:caps/>
          <w:color w:val="58595B"/>
        </w:rPr>
        <w:t>.com</w:t>
      </w:r>
    </w:p>
    <w:sectPr w:rsidR="00310271" w:rsidRPr="00A65456" w:rsidSect="00FC7D0D">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E474" w14:textId="77777777" w:rsidR="005F1B03" w:rsidRDefault="005F1B03">
      <w:r>
        <w:separator/>
      </w:r>
    </w:p>
  </w:endnote>
  <w:endnote w:type="continuationSeparator" w:id="0">
    <w:p w14:paraId="11FBCE25" w14:textId="77777777" w:rsidR="005F1B03" w:rsidRDefault="005F1B03">
      <w:r>
        <w:continuationSeparator/>
      </w:r>
    </w:p>
  </w:endnote>
  <w:endnote w:type="continuationNotice" w:id="1">
    <w:p w14:paraId="5EEBE03D" w14:textId="77777777" w:rsidR="005F1B03" w:rsidRDefault="005F1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F016" w14:textId="77777777" w:rsidR="005F1B03" w:rsidRDefault="005F1B03">
      <w:r>
        <w:separator/>
      </w:r>
    </w:p>
  </w:footnote>
  <w:footnote w:type="continuationSeparator" w:id="0">
    <w:p w14:paraId="5C732F54" w14:textId="77777777" w:rsidR="005F1B03" w:rsidRDefault="005F1B03">
      <w:r>
        <w:continuationSeparator/>
      </w:r>
    </w:p>
  </w:footnote>
  <w:footnote w:type="continuationNotice" w:id="1">
    <w:p w14:paraId="6B1B0BBA" w14:textId="77777777" w:rsidR="005F1B03" w:rsidRDefault="005F1B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sawFAJQfcjEtAAAA"/>
  </w:docVars>
  <w:rsids>
    <w:rsidRoot w:val="00310271"/>
    <w:rsid w:val="000036B2"/>
    <w:rsid w:val="000071F9"/>
    <w:rsid w:val="000146B5"/>
    <w:rsid w:val="0002356D"/>
    <w:rsid w:val="00025049"/>
    <w:rsid w:val="000251DB"/>
    <w:rsid w:val="00026505"/>
    <w:rsid w:val="00027D08"/>
    <w:rsid w:val="00040C3C"/>
    <w:rsid w:val="000536AB"/>
    <w:rsid w:val="00056B71"/>
    <w:rsid w:val="00056C5F"/>
    <w:rsid w:val="0006031A"/>
    <w:rsid w:val="00060559"/>
    <w:rsid w:val="00060862"/>
    <w:rsid w:val="000719FE"/>
    <w:rsid w:val="00074E6F"/>
    <w:rsid w:val="00075B30"/>
    <w:rsid w:val="000762FC"/>
    <w:rsid w:val="00081994"/>
    <w:rsid w:val="00084965"/>
    <w:rsid w:val="00085051"/>
    <w:rsid w:val="00085537"/>
    <w:rsid w:val="00095231"/>
    <w:rsid w:val="000A2F3C"/>
    <w:rsid w:val="000A693A"/>
    <w:rsid w:val="000A7B71"/>
    <w:rsid w:val="000B3FB0"/>
    <w:rsid w:val="000C1420"/>
    <w:rsid w:val="000C2111"/>
    <w:rsid w:val="000C4725"/>
    <w:rsid w:val="000C77BD"/>
    <w:rsid w:val="000D2FFB"/>
    <w:rsid w:val="000D3EB7"/>
    <w:rsid w:val="000E2FF8"/>
    <w:rsid w:val="000E6258"/>
    <w:rsid w:val="000E6802"/>
    <w:rsid w:val="000E6C86"/>
    <w:rsid w:val="000E6D97"/>
    <w:rsid w:val="000F3D40"/>
    <w:rsid w:val="000F7EFA"/>
    <w:rsid w:val="0010115C"/>
    <w:rsid w:val="001014AE"/>
    <w:rsid w:val="00105280"/>
    <w:rsid w:val="00105411"/>
    <w:rsid w:val="00113BE6"/>
    <w:rsid w:val="0011558E"/>
    <w:rsid w:val="00116740"/>
    <w:rsid w:val="00120010"/>
    <w:rsid w:val="001217A4"/>
    <w:rsid w:val="0012269E"/>
    <w:rsid w:val="00123D97"/>
    <w:rsid w:val="00127E67"/>
    <w:rsid w:val="00132058"/>
    <w:rsid w:val="001320EA"/>
    <w:rsid w:val="00133F7F"/>
    <w:rsid w:val="00140E81"/>
    <w:rsid w:val="00141D14"/>
    <w:rsid w:val="00142FBF"/>
    <w:rsid w:val="001470E4"/>
    <w:rsid w:val="001532A5"/>
    <w:rsid w:val="001534A4"/>
    <w:rsid w:val="001537A4"/>
    <w:rsid w:val="00153F4A"/>
    <w:rsid w:val="00161B54"/>
    <w:rsid w:val="00162118"/>
    <w:rsid w:val="0017091A"/>
    <w:rsid w:val="0017149B"/>
    <w:rsid w:val="001744D6"/>
    <w:rsid w:val="00175C9D"/>
    <w:rsid w:val="0018292B"/>
    <w:rsid w:val="00183C38"/>
    <w:rsid w:val="00187E21"/>
    <w:rsid w:val="001929E9"/>
    <w:rsid w:val="00194883"/>
    <w:rsid w:val="001A407F"/>
    <w:rsid w:val="001A5AE0"/>
    <w:rsid w:val="001C0EE6"/>
    <w:rsid w:val="001C2F89"/>
    <w:rsid w:val="001C3947"/>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49F4"/>
    <w:rsid w:val="00245C49"/>
    <w:rsid w:val="0024623E"/>
    <w:rsid w:val="00247F2D"/>
    <w:rsid w:val="00252CCC"/>
    <w:rsid w:val="00256B28"/>
    <w:rsid w:val="002570F6"/>
    <w:rsid w:val="002640B5"/>
    <w:rsid w:val="00271D59"/>
    <w:rsid w:val="00274EA9"/>
    <w:rsid w:val="00276A7C"/>
    <w:rsid w:val="00280C61"/>
    <w:rsid w:val="00286212"/>
    <w:rsid w:val="0029529F"/>
    <w:rsid w:val="002A38CA"/>
    <w:rsid w:val="002A4D21"/>
    <w:rsid w:val="002B07E7"/>
    <w:rsid w:val="002B2F91"/>
    <w:rsid w:val="002B3E10"/>
    <w:rsid w:val="002C01C4"/>
    <w:rsid w:val="002C0E8C"/>
    <w:rsid w:val="002C2526"/>
    <w:rsid w:val="002C3302"/>
    <w:rsid w:val="002C648F"/>
    <w:rsid w:val="002D2361"/>
    <w:rsid w:val="002E3928"/>
    <w:rsid w:val="002F2A80"/>
    <w:rsid w:val="002F681A"/>
    <w:rsid w:val="002F7E04"/>
    <w:rsid w:val="00300681"/>
    <w:rsid w:val="003028C3"/>
    <w:rsid w:val="003044A4"/>
    <w:rsid w:val="003047D1"/>
    <w:rsid w:val="0030559E"/>
    <w:rsid w:val="00305BFE"/>
    <w:rsid w:val="00310271"/>
    <w:rsid w:val="0031043D"/>
    <w:rsid w:val="00316D34"/>
    <w:rsid w:val="00317115"/>
    <w:rsid w:val="00321455"/>
    <w:rsid w:val="003238DF"/>
    <w:rsid w:val="0032586A"/>
    <w:rsid w:val="00326B55"/>
    <w:rsid w:val="003320FC"/>
    <w:rsid w:val="00351C1E"/>
    <w:rsid w:val="003524EF"/>
    <w:rsid w:val="00366F01"/>
    <w:rsid w:val="00373420"/>
    <w:rsid w:val="003737D4"/>
    <w:rsid w:val="003739E6"/>
    <w:rsid w:val="00374837"/>
    <w:rsid w:val="00377EE1"/>
    <w:rsid w:val="00381561"/>
    <w:rsid w:val="0038183B"/>
    <w:rsid w:val="00384380"/>
    <w:rsid w:val="003958D3"/>
    <w:rsid w:val="00395F67"/>
    <w:rsid w:val="00396F47"/>
    <w:rsid w:val="003A021A"/>
    <w:rsid w:val="003A0958"/>
    <w:rsid w:val="003A7A3C"/>
    <w:rsid w:val="003B44B8"/>
    <w:rsid w:val="003B6D62"/>
    <w:rsid w:val="003B727B"/>
    <w:rsid w:val="003B730E"/>
    <w:rsid w:val="003B7896"/>
    <w:rsid w:val="003C0245"/>
    <w:rsid w:val="003C70C1"/>
    <w:rsid w:val="003C7B91"/>
    <w:rsid w:val="003D13A4"/>
    <w:rsid w:val="003D725D"/>
    <w:rsid w:val="003E2206"/>
    <w:rsid w:val="003E43C9"/>
    <w:rsid w:val="003E4BD4"/>
    <w:rsid w:val="003E63FE"/>
    <w:rsid w:val="003F0914"/>
    <w:rsid w:val="00400BA3"/>
    <w:rsid w:val="00400BB9"/>
    <w:rsid w:val="00401EB9"/>
    <w:rsid w:val="00417810"/>
    <w:rsid w:val="00420166"/>
    <w:rsid w:val="004235CF"/>
    <w:rsid w:val="00424748"/>
    <w:rsid w:val="004325CE"/>
    <w:rsid w:val="00435035"/>
    <w:rsid w:val="004363E3"/>
    <w:rsid w:val="00437778"/>
    <w:rsid w:val="00440FCC"/>
    <w:rsid w:val="00442743"/>
    <w:rsid w:val="00445FF9"/>
    <w:rsid w:val="004529C8"/>
    <w:rsid w:val="004575D4"/>
    <w:rsid w:val="00457719"/>
    <w:rsid w:val="00457A04"/>
    <w:rsid w:val="00461CDD"/>
    <w:rsid w:val="00462BDA"/>
    <w:rsid w:val="00462D29"/>
    <w:rsid w:val="004631A2"/>
    <w:rsid w:val="00465232"/>
    <w:rsid w:val="00465AA5"/>
    <w:rsid w:val="004678CD"/>
    <w:rsid w:val="004760FD"/>
    <w:rsid w:val="00482D9C"/>
    <w:rsid w:val="0048612C"/>
    <w:rsid w:val="00486DA1"/>
    <w:rsid w:val="00490129"/>
    <w:rsid w:val="00494E1B"/>
    <w:rsid w:val="0049544F"/>
    <w:rsid w:val="00495C93"/>
    <w:rsid w:val="00496DD2"/>
    <w:rsid w:val="00497869"/>
    <w:rsid w:val="004A0254"/>
    <w:rsid w:val="004A04FD"/>
    <w:rsid w:val="004A0EF4"/>
    <w:rsid w:val="004A20B9"/>
    <w:rsid w:val="004A22AB"/>
    <w:rsid w:val="004A5042"/>
    <w:rsid w:val="004B5874"/>
    <w:rsid w:val="004B7F15"/>
    <w:rsid w:val="004C00AC"/>
    <w:rsid w:val="004C0269"/>
    <w:rsid w:val="004D480C"/>
    <w:rsid w:val="004D528B"/>
    <w:rsid w:val="004D7659"/>
    <w:rsid w:val="004E2838"/>
    <w:rsid w:val="004E2D55"/>
    <w:rsid w:val="004E2DF5"/>
    <w:rsid w:val="004E43EA"/>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84BAA"/>
    <w:rsid w:val="00593C4C"/>
    <w:rsid w:val="005971D3"/>
    <w:rsid w:val="00597589"/>
    <w:rsid w:val="005A213E"/>
    <w:rsid w:val="005A25DD"/>
    <w:rsid w:val="005A2D15"/>
    <w:rsid w:val="005A503A"/>
    <w:rsid w:val="005B0F37"/>
    <w:rsid w:val="005B2B32"/>
    <w:rsid w:val="005B6E90"/>
    <w:rsid w:val="005C015E"/>
    <w:rsid w:val="005C0F5A"/>
    <w:rsid w:val="005C2D7B"/>
    <w:rsid w:val="005C33A3"/>
    <w:rsid w:val="005C3A4D"/>
    <w:rsid w:val="005C5E14"/>
    <w:rsid w:val="005D075C"/>
    <w:rsid w:val="005D0D11"/>
    <w:rsid w:val="005D1DE3"/>
    <w:rsid w:val="005D7902"/>
    <w:rsid w:val="005E0EB9"/>
    <w:rsid w:val="005E2E0D"/>
    <w:rsid w:val="005E4B02"/>
    <w:rsid w:val="005F1B03"/>
    <w:rsid w:val="00602F86"/>
    <w:rsid w:val="00606E96"/>
    <w:rsid w:val="00612551"/>
    <w:rsid w:val="00615328"/>
    <w:rsid w:val="00615D4E"/>
    <w:rsid w:val="00621409"/>
    <w:rsid w:val="00623D53"/>
    <w:rsid w:val="0062491C"/>
    <w:rsid w:val="006256A2"/>
    <w:rsid w:val="00627D1B"/>
    <w:rsid w:val="00632E73"/>
    <w:rsid w:val="006336AC"/>
    <w:rsid w:val="00637143"/>
    <w:rsid w:val="00647D86"/>
    <w:rsid w:val="006504F5"/>
    <w:rsid w:val="00651250"/>
    <w:rsid w:val="00652AF4"/>
    <w:rsid w:val="00653D3B"/>
    <w:rsid w:val="006549DF"/>
    <w:rsid w:val="0065534E"/>
    <w:rsid w:val="006555E9"/>
    <w:rsid w:val="00656A11"/>
    <w:rsid w:val="00660116"/>
    <w:rsid w:val="0066125D"/>
    <w:rsid w:val="00661EC6"/>
    <w:rsid w:val="00666482"/>
    <w:rsid w:val="00681E99"/>
    <w:rsid w:val="0068201F"/>
    <w:rsid w:val="00682DD2"/>
    <w:rsid w:val="00683FAC"/>
    <w:rsid w:val="00686641"/>
    <w:rsid w:val="006918CC"/>
    <w:rsid w:val="0069522A"/>
    <w:rsid w:val="00695F42"/>
    <w:rsid w:val="006967BB"/>
    <w:rsid w:val="006B76C3"/>
    <w:rsid w:val="006D0717"/>
    <w:rsid w:val="006D3705"/>
    <w:rsid w:val="006E1C96"/>
    <w:rsid w:val="006E51E1"/>
    <w:rsid w:val="006E5CA8"/>
    <w:rsid w:val="006F28A9"/>
    <w:rsid w:val="006F3418"/>
    <w:rsid w:val="006F7759"/>
    <w:rsid w:val="0070100C"/>
    <w:rsid w:val="00701959"/>
    <w:rsid w:val="007024E7"/>
    <w:rsid w:val="00703612"/>
    <w:rsid w:val="00703E18"/>
    <w:rsid w:val="00703E54"/>
    <w:rsid w:val="007043AD"/>
    <w:rsid w:val="00705DD5"/>
    <w:rsid w:val="00711587"/>
    <w:rsid w:val="007134F0"/>
    <w:rsid w:val="00714486"/>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54C"/>
    <w:rsid w:val="007537D7"/>
    <w:rsid w:val="00755010"/>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A0312"/>
    <w:rsid w:val="007A0DA1"/>
    <w:rsid w:val="007A3EC8"/>
    <w:rsid w:val="007A52F8"/>
    <w:rsid w:val="007A6DBD"/>
    <w:rsid w:val="007B5170"/>
    <w:rsid w:val="007B59A5"/>
    <w:rsid w:val="007B7745"/>
    <w:rsid w:val="007C0D49"/>
    <w:rsid w:val="007C2D9B"/>
    <w:rsid w:val="007C344D"/>
    <w:rsid w:val="007C3925"/>
    <w:rsid w:val="007C4B80"/>
    <w:rsid w:val="007C7524"/>
    <w:rsid w:val="007D450B"/>
    <w:rsid w:val="007D5645"/>
    <w:rsid w:val="007E1098"/>
    <w:rsid w:val="007E1511"/>
    <w:rsid w:val="007E4E13"/>
    <w:rsid w:val="007E55DD"/>
    <w:rsid w:val="007F10EF"/>
    <w:rsid w:val="007F669A"/>
    <w:rsid w:val="007F7717"/>
    <w:rsid w:val="0080555E"/>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70D"/>
    <w:rsid w:val="00843BA5"/>
    <w:rsid w:val="00845472"/>
    <w:rsid w:val="0084613B"/>
    <w:rsid w:val="00850E11"/>
    <w:rsid w:val="00851F21"/>
    <w:rsid w:val="00853A5C"/>
    <w:rsid w:val="008567BB"/>
    <w:rsid w:val="008638E1"/>
    <w:rsid w:val="0087185E"/>
    <w:rsid w:val="0087496B"/>
    <w:rsid w:val="00877495"/>
    <w:rsid w:val="00880D05"/>
    <w:rsid w:val="00886CF6"/>
    <w:rsid w:val="0089443D"/>
    <w:rsid w:val="008A0ED6"/>
    <w:rsid w:val="008A55C6"/>
    <w:rsid w:val="008B38FF"/>
    <w:rsid w:val="008B6D72"/>
    <w:rsid w:val="008B769E"/>
    <w:rsid w:val="008C0D79"/>
    <w:rsid w:val="008C3985"/>
    <w:rsid w:val="008C4043"/>
    <w:rsid w:val="008D35C8"/>
    <w:rsid w:val="008D5D78"/>
    <w:rsid w:val="008D741D"/>
    <w:rsid w:val="008E01C4"/>
    <w:rsid w:val="008E5DE9"/>
    <w:rsid w:val="008F12F3"/>
    <w:rsid w:val="0090011F"/>
    <w:rsid w:val="00900651"/>
    <w:rsid w:val="009015F6"/>
    <w:rsid w:val="00907CEA"/>
    <w:rsid w:val="009110A4"/>
    <w:rsid w:val="00914AFF"/>
    <w:rsid w:val="009176C8"/>
    <w:rsid w:val="009200A3"/>
    <w:rsid w:val="00920389"/>
    <w:rsid w:val="009227B3"/>
    <w:rsid w:val="00922E9D"/>
    <w:rsid w:val="00923A8D"/>
    <w:rsid w:val="009329CD"/>
    <w:rsid w:val="0094135E"/>
    <w:rsid w:val="00941B78"/>
    <w:rsid w:val="009421C4"/>
    <w:rsid w:val="00943EA9"/>
    <w:rsid w:val="0094730E"/>
    <w:rsid w:val="00950001"/>
    <w:rsid w:val="00951B43"/>
    <w:rsid w:val="0095400E"/>
    <w:rsid w:val="00955EBF"/>
    <w:rsid w:val="00957520"/>
    <w:rsid w:val="00962148"/>
    <w:rsid w:val="00962FF6"/>
    <w:rsid w:val="0096312F"/>
    <w:rsid w:val="00963B94"/>
    <w:rsid w:val="009643B4"/>
    <w:rsid w:val="00965D77"/>
    <w:rsid w:val="00967A7A"/>
    <w:rsid w:val="00970261"/>
    <w:rsid w:val="00972106"/>
    <w:rsid w:val="0097491B"/>
    <w:rsid w:val="009762D3"/>
    <w:rsid w:val="0097697C"/>
    <w:rsid w:val="00976D35"/>
    <w:rsid w:val="0098000F"/>
    <w:rsid w:val="00980F0E"/>
    <w:rsid w:val="00983962"/>
    <w:rsid w:val="00990AEE"/>
    <w:rsid w:val="00995041"/>
    <w:rsid w:val="00997EBD"/>
    <w:rsid w:val="009A37DB"/>
    <w:rsid w:val="009A3DB4"/>
    <w:rsid w:val="009B1563"/>
    <w:rsid w:val="009B4639"/>
    <w:rsid w:val="009B4976"/>
    <w:rsid w:val="009B4B9D"/>
    <w:rsid w:val="009B54A0"/>
    <w:rsid w:val="009B7188"/>
    <w:rsid w:val="009D0EF3"/>
    <w:rsid w:val="009E114D"/>
    <w:rsid w:val="009E274F"/>
    <w:rsid w:val="009F19DF"/>
    <w:rsid w:val="009F2929"/>
    <w:rsid w:val="009F4F1D"/>
    <w:rsid w:val="009F70BD"/>
    <w:rsid w:val="00A00DE7"/>
    <w:rsid w:val="00A049E2"/>
    <w:rsid w:val="00A04C54"/>
    <w:rsid w:val="00A05DEE"/>
    <w:rsid w:val="00A11F92"/>
    <w:rsid w:val="00A22F75"/>
    <w:rsid w:val="00A26AC3"/>
    <w:rsid w:val="00A31B84"/>
    <w:rsid w:val="00A3398B"/>
    <w:rsid w:val="00A37CFE"/>
    <w:rsid w:val="00A40946"/>
    <w:rsid w:val="00A42F7D"/>
    <w:rsid w:val="00A56914"/>
    <w:rsid w:val="00A613CC"/>
    <w:rsid w:val="00A621BC"/>
    <w:rsid w:val="00A65456"/>
    <w:rsid w:val="00A763E7"/>
    <w:rsid w:val="00A77876"/>
    <w:rsid w:val="00A81377"/>
    <w:rsid w:val="00A87A54"/>
    <w:rsid w:val="00A90736"/>
    <w:rsid w:val="00A93393"/>
    <w:rsid w:val="00AA02F6"/>
    <w:rsid w:val="00AA0D57"/>
    <w:rsid w:val="00AB025D"/>
    <w:rsid w:val="00AB1444"/>
    <w:rsid w:val="00AC246F"/>
    <w:rsid w:val="00AC6240"/>
    <w:rsid w:val="00AC7DFF"/>
    <w:rsid w:val="00AD0F1D"/>
    <w:rsid w:val="00AD571B"/>
    <w:rsid w:val="00AD5B9F"/>
    <w:rsid w:val="00AD6482"/>
    <w:rsid w:val="00AE355A"/>
    <w:rsid w:val="00AE4730"/>
    <w:rsid w:val="00AE5933"/>
    <w:rsid w:val="00AF6165"/>
    <w:rsid w:val="00AF73E9"/>
    <w:rsid w:val="00B008BF"/>
    <w:rsid w:val="00B010F5"/>
    <w:rsid w:val="00B04E79"/>
    <w:rsid w:val="00B106D8"/>
    <w:rsid w:val="00B1237F"/>
    <w:rsid w:val="00B14A3F"/>
    <w:rsid w:val="00B21DF7"/>
    <w:rsid w:val="00B23CB8"/>
    <w:rsid w:val="00B278B8"/>
    <w:rsid w:val="00B31916"/>
    <w:rsid w:val="00B32982"/>
    <w:rsid w:val="00B412D0"/>
    <w:rsid w:val="00B41F85"/>
    <w:rsid w:val="00B42635"/>
    <w:rsid w:val="00B42EFD"/>
    <w:rsid w:val="00B43370"/>
    <w:rsid w:val="00B44158"/>
    <w:rsid w:val="00B469E4"/>
    <w:rsid w:val="00B51A09"/>
    <w:rsid w:val="00B5439B"/>
    <w:rsid w:val="00B56B09"/>
    <w:rsid w:val="00B57F19"/>
    <w:rsid w:val="00B601FA"/>
    <w:rsid w:val="00B613BE"/>
    <w:rsid w:val="00B64A88"/>
    <w:rsid w:val="00B6511F"/>
    <w:rsid w:val="00B6575E"/>
    <w:rsid w:val="00B6712C"/>
    <w:rsid w:val="00B73C8D"/>
    <w:rsid w:val="00B758FB"/>
    <w:rsid w:val="00B82A95"/>
    <w:rsid w:val="00B84A02"/>
    <w:rsid w:val="00B85C98"/>
    <w:rsid w:val="00B90DA6"/>
    <w:rsid w:val="00B92EE8"/>
    <w:rsid w:val="00B97AFD"/>
    <w:rsid w:val="00BA0C70"/>
    <w:rsid w:val="00BA2CC6"/>
    <w:rsid w:val="00BA2D41"/>
    <w:rsid w:val="00BA3AC9"/>
    <w:rsid w:val="00BA4143"/>
    <w:rsid w:val="00BA5B1A"/>
    <w:rsid w:val="00BA66B4"/>
    <w:rsid w:val="00BB0C49"/>
    <w:rsid w:val="00BB219B"/>
    <w:rsid w:val="00BB5458"/>
    <w:rsid w:val="00BB7912"/>
    <w:rsid w:val="00BC19BA"/>
    <w:rsid w:val="00BC1CC0"/>
    <w:rsid w:val="00BC2C82"/>
    <w:rsid w:val="00BD19FA"/>
    <w:rsid w:val="00BD35A2"/>
    <w:rsid w:val="00BD5752"/>
    <w:rsid w:val="00BD60B5"/>
    <w:rsid w:val="00BD7275"/>
    <w:rsid w:val="00BE28B7"/>
    <w:rsid w:val="00BE3FE9"/>
    <w:rsid w:val="00BE7FC6"/>
    <w:rsid w:val="00BF0243"/>
    <w:rsid w:val="00BF19D8"/>
    <w:rsid w:val="00BF1AAE"/>
    <w:rsid w:val="00BF2195"/>
    <w:rsid w:val="00C03AB7"/>
    <w:rsid w:val="00C03FF2"/>
    <w:rsid w:val="00C04E70"/>
    <w:rsid w:val="00C05BC2"/>
    <w:rsid w:val="00C10313"/>
    <w:rsid w:val="00C1181C"/>
    <w:rsid w:val="00C1403A"/>
    <w:rsid w:val="00C14B5D"/>
    <w:rsid w:val="00C16713"/>
    <w:rsid w:val="00C1768F"/>
    <w:rsid w:val="00C20D43"/>
    <w:rsid w:val="00C219B7"/>
    <w:rsid w:val="00C22E7D"/>
    <w:rsid w:val="00C22F31"/>
    <w:rsid w:val="00C23A23"/>
    <w:rsid w:val="00C24E4A"/>
    <w:rsid w:val="00C309DD"/>
    <w:rsid w:val="00C32235"/>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FF6"/>
    <w:rsid w:val="00C77191"/>
    <w:rsid w:val="00C81BA7"/>
    <w:rsid w:val="00C85FF6"/>
    <w:rsid w:val="00C87564"/>
    <w:rsid w:val="00CA10C2"/>
    <w:rsid w:val="00CA423F"/>
    <w:rsid w:val="00CB1608"/>
    <w:rsid w:val="00CB1910"/>
    <w:rsid w:val="00CB3785"/>
    <w:rsid w:val="00CB424D"/>
    <w:rsid w:val="00CB5069"/>
    <w:rsid w:val="00CC0FDD"/>
    <w:rsid w:val="00CC1528"/>
    <w:rsid w:val="00CC1C61"/>
    <w:rsid w:val="00CC2D02"/>
    <w:rsid w:val="00CC3E4A"/>
    <w:rsid w:val="00CC3FA5"/>
    <w:rsid w:val="00CD2641"/>
    <w:rsid w:val="00CD4556"/>
    <w:rsid w:val="00CE1C42"/>
    <w:rsid w:val="00CE2D47"/>
    <w:rsid w:val="00CE39E0"/>
    <w:rsid w:val="00CE62F7"/>
    <w:rsid w:val="00CE7DF2"/>
    <w:rsid w:val="00CF00E3"/>
    <w:rsid w:val="00CF093E"/>
    <w:rsid w:val="00CF1602"/>
    <w:rsid w:val="00CF1B81"/>
    <w:rsid w:val="00CF1BAA"/>
    <w:rsid w:val="00CF34E8"/>
    <w:rsid w:val="00D0261F"/>
    <w:rsid w:val="00D034B7"/>
    <w:rsid w:val="00D05DF5"/>
    <w:rsid w:val="00D14185"/>
    <w:rsid w:val="00D15709"/>
    <w:rsid w:val="00D15F4E"/>
    <w:rsid w:val="00D17439"/>
    <w:rsid w:val="00D22917"/>
    <w:rsid w:val="00D26F72"/>
    <w:rsid w:val="00D32EFB"/>
    <w:rsid w:val="00D360C5"/>
    <w:rsid w:val="00D409A8"/>
    <w:rsid w:val="00D42D9A"/>
    <w:rsid w:val="00D50A92"/>
    <w:rsid w:val="00D55D70"/>
    <w:rsid w:val="00D5610D"/>
    <w:rsid w:val="00D576D7"/>
    <w:rsid w:val="00D6278F"/>
    <w:rsid w:val="00D75448"/>
    <w:rsid w:val="00D756FD"/>
    <w:rsid w:val="00D75C33"/>
    <w:rsid w:val="00D821AE"/>
    <w:rsid w:val="00D9009B"/>
    <w:rsid w:val="00D922F6"/>
    <w:rsid w:val="00D96987"/>
    <w:rsid w:val="00DA423D"/>
    <w:rsid w:val="00DA514C"/>
    <w:rsid w:val="00DA667C"/>
    <w:rsid w:val="00DA7301"/>
    <w:rsid w:val="00DB136E"/>
    <w:rsid w:val="00DB3D33"/>
    <w:rsid w:val="00DB4FE6"/>
    <w:rsid w:val="00DC061F"/>
    <w:rsid w:val="00DC39C5"/>
    <w:rsid w:val="00DC3EF3"/>
    <w:rsid w:val="00DC493E"/>
    <w:rsid w:val="00DC63C0"/>
    <w:rsid w:val="00DD748D"/>
    <w:rsid w:val="00DE2617"/>
    <w:rsid w:val="00DE3290"/>
    <w:rsid w:val="00DE4686"/>
    <w:rsid w:val="00DE7CAE"/>
    <w:rsid w:val="00DF115D"/>
    <w:rsid w:val="00DF1E02"/>
    <w:rsid w:val="00DF5D78"/>
    <w:rsid w:val="00DF6C35"/>
    <w:rsid w:val="00DF6CCB"/>
    <w:rsid w:val="00E0109B"/>
    <w:rsid w:val="00E068FD"/>
    <w:rsid w:val="00E13554"/>
    <w:rsid w:val="00E13977"/>
    <w:rsid w:val="00E158C0"/>
    <w:rsid w:val="00E15CC8"/>
    <w:rsid w:val="00E17B6F"/>
    <w:rsid w:val="00E22E74"/>
    <w:rsid w:val="00E249E2"/>
    <w:rsid w:val="00E25950"/>
    <w:rsid w:val="00E4127A"/>
    <w:rsid w:val="00E42C8D"/>
    <w:rsid w:val="00E4354E"/>
    <w:rsid w:val="00E43D28"/>
    <w:rsid w:val="00E45703"/>
    <w:rsid w:val="00E463D4"/>
    <w:rsid w:val="00E50BC4"/>
    <w:rsid w:val="00E54EC0"/>
    <w:rsid w:val="00E729B6"/>
    <w:rsid w:val="00E73B5F"/>
    <w:rsid w:val="00E761F7"/>
    <w:rsid w:val="00E829DC"/>
    <w:rsid w:val="00E82D3C"/>
    <w:rsid w:val="00E83506"/>
    <w:rsid w:val="00E85CF7"/>
    <w:rsid w:val="00E90502"/>
    <w:rsid w:val="00E91598"/>
    <w:rsid w:val="00E96DD1"/>
    <w:rsid w:val="00EA0CB3"/>
    <w:rsid w:val="00EA1E0B"/>
    <w:rsid w:val="00EA5F56"/>
    <w:rsid w:val="00EA7B9E"/>
    <w:rsid w:val="00EC0220"/>
    <w:rsid w:val="00EC2860"/>
    <w:rsid w:val="00EC2992"/>
    <w:rsid w:val="00EC3E2E"/>
    <w:rsid w:val="00ED44E6"/>
    <w:rsid w:val="00ED749C"/>
    <w:rsid w:val="00EE0FB7"/>
    <w:rsid w:val="00EE188E"/>
    <w:rsid w:val="00EE3523"/>
    <w:rsid w:val="00EE69AF"/>
    <w:rsid w:val="00EE6D91"/>
    <w:rsid w:val="00EE7D63"/>
    <w:rsid w:val="00EF1341"/>
    <w:rsid w:val="00EF3A04"/>
    <w:rsid w:val="00EF421D"/>
    <w:rsid w:val="00EF4FDE"/>
    <w:rsid w:val="00F12C03"/>
    <w:rsid w:val="00F1553D"/>
    <w:rsid w:val="00F201A1"/>
    <w:rsid w:val="00F20C2D"/>
    <w:rsid w:val="00F21AFE"/>
    <w:rsid w:val="00F236B2"/>
    <w:rsid w:val="00F25A3F"/>
    <w:rsid w:val="00F27917"/>
    <w:rsid w:val="00F3241A"/>
    <w:rsid w:val="00F33A78"/>
    <w:rsid w:val="00F33E81"/>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7205E"/>
    <w:rsid w:val="00F72A72"/>
    <w:rsid w:val="00F77085"/>
    <w:rsid w:val="00F8517C"/>
    <w:rsid w:val="00F85A28"/>
    <w:rsid w:val="00F91303"/>
    <w:rsid w:val="00F96FDC"/>
    <w:rsid w:val="00F979F9"/>
    <w:rsid w:val="00FA27FD"/>
    <w:rsid w:val="00FA2943"/>
    <w:rsid w:val="00FA6742"/>
    <w:rsid w:val="00FA7962"/>
    <w:rsid w:val="00FB2AB6"/>
    <w:rsid w:val="00FB41E4"/>
    <w:rsid w:val="00FB430F"/>
    <w:rsid w:val="00FB54F9"/>
    <w:rsid w:val="00FB63C1"/>
    <w:rsid w:val="00FB6674"/>
    <w:rsid w:val="00FC125E"/>
    <w:rsid w:val="00FC38B3"/>
    <w:rsid w:val="00FC58C8"/>
    <w:rsid w:val="00FC7BD6"/>
    <w:rsid w:val="00FC7D0D"/>
    <w:rsid w:val="00FD42C5"/>
    <w:rsid w:val="00FD43C9"/>
    <w:rsid w:val="00FD5531"/>
    <w:rsid w:val="00FE282A"/>
    <w:rsid w:val="00FE3147"/>
    <w:rsid w:val="00FE36D4"/>
    <w:rsid w:val="00FE629C"/>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apnews.com/article/federal-reserve-inflation-loan-rates-economy-prices-7474747d890c0fdcc87454fd4c80aaa4"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nn.com/2024/12/06/economy/us-jobs-report-november-final/index.html"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finance.yahoo.com/news/mortgage-rates-rise-again-finishing-the-year-at-685--just-about-the-way-they-started-170707172.html"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2.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3.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4.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1543</Words>
  <Characters>7996</Characters>
  <Application>Microsoft Office Word</Application>
  <DocSecurity>0</DocSecurity>
  <Lines>133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3</cp:revision>
  <cp:lastPrinted>2025-01-03T19:49:00Z</cp:lastPrinted>
  <dcterms:created xsi:type="dcterms:W3CDTF">2025-01-03T19:45:00Z</dcterms:created>
  <dcterms:modified xsi:type="dcterms:W3CDTF">2025-01-03T19:50:00Z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