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51F2" w14:textId="14199F36" w:rsidR="00986C65" w:rsidRDefault="00D9289F" w:rsidP="00C1396E">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0" behindDoc="0" locked="0" layoutInCell="1" allowOverlap="1" wp14:anchorId="3F2C1483" wp14:editId="2D3CF6D6">
                <wp:simplePos x="0" y="0"/>
                <wp:positionH relativeFrom="column">
                  <wp:posOffset>4987290</wp:posOffset>
                </wp:positionH>
                <wp:positionV relativeFrom="paragraph">
                  <wp:posOffset>-25302</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2" o:spid="_x0000_s1026" type="#_x0000_t202" style="position:absolute;left:0;text-align:left;margin-left:392.7pt;margin-top:-2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Pr="003313DE">
        <w:rPr>
          <w:rFonts w:cstheme="minorHAnsi"/>
          <w:noProof/>
          <w:color w:val="58595B"/>
        </w:rPr>
        <mc:AlternateContent>
          <mc:Choice Requires="wpg">
            <w:drawing>
              <wp:anchor distT="0" distB="0" distL="114300" distR="114300" simplePos="0" relativeHeight="251656192" behindDoc="0" locked="0" layoutInCell="1" allowOverlap="1" wp14:anchorId="0DEED9E5" wp14:editId="35FDA266">
                <wp:simplePos x="0" y="0"/>
                <wp:positionH relativeFrom="margin">
                  <wp:posOffset>0</wp:posOffset>
                </wp:positionH>
                <wp:positionV relativeFrom="margin">
                  <wp:posOffset>-159287</wp:posOffset>
                </wp:positionV>
                <wp:extent cx="7772400" cy="824230"/>
                <wp:effectExtent l="0" t="0" r="0" b="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DA999D" id="Group 13" o:spid="_x0000_s1026" style="position:absolute;margin-left:0;margin-top:-12.55pt;width:612pt;height:64.9pt;z-index:251656192;mso-position-horizontal-relative:margin;mso-position-vertical-relative:margin"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margin" anchory="margin"/>
              </v:group>
            </w:pict>
          </mc:Fallback>
        </mc:AlternateContent>
      </w:r>
    </w:p>
    <w:p w14:paraId="1D1EE5E2" w14:textId="4BB70745" w:rsidR="00986C65" w:rsidRDefault="00D9289F" w:rsidP="00C1396E">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4656" behindDoc="1" locked="0" layoutInCell="1" allowOverlap="1" wp14:anchorId="241D3776" wp14:editId="1F28CB9C">
                <wp:simplePos x="0" y="0"/>
                <wp:positionH relativeFrom="column">
                  <wp:posOffset>5438775</wp:posOffset>
                </wp:positionH>
                <wp:positionV relativeFrom="paragraph">
                  <wp:posOffset>104042</wp:posOffset>
                </wp:positionV>
                <wp:extent cx="1391920" cy="981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9192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3776" id="_x0000_s1027" type="#_x0000_t202" style="position:absolute;left:0;text-align:left;margin-left:428.25pt;margin-top:8.2pt;width:109.6pt;height:7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" fillcolor="white [3201]" stroked="f" strokeweight=".5pt">
                <v:textbo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v:textbox>
              </v:shape>
            </w:pict>
          </mc:Fallback>
        </mc:AlternateContent>
      </w:r>
    </w:p>
    <w:p w14:paraId="345F6855" w14:textId="35926199" w:rsidR="00A33A64" w:rsidRDefault="00A33A64" w:rsidP="00C1396E">
      <w:pPr>
        <w:rPr>
          <w:rFonts w:cstheme="minorHAnsi"/>
          <w:b/>
          <w:color w:val="005EA4"/>
          <w:sz w:val="28"/>
          <w:szCs w:val="28"/>
        </w:rPr>
      </w:pPr>
    </w:p>
    <w:p w14:paraId="627CCE99" w14:textId="77777777" w:rsidR="00D72783" w:rsidRDefault="00D72783" w:rsidP="00C1396E">
      <w:pPr>
        <w:rPr>
          <w:rFonts w:cstheme="minorHAnsi"/>
          <w:b/>
          <w:color w:val="005EA4"/>
          <w:sz w:val="28"/>
          <w:szCs w:val="28"/>
        </w:rPr>
      </w:pPr>
      <w:bookmarkStart w:id="0" w:name="_Hlk115849168"/>
      <w:bookmarkEnd w:id="0"/>
    </w:p>
    <w:p w14:paraId="11E6735C" w14:textId="67BF5C5E" w:rsidR="00730139" w:rsidRPr="000A77AA" w:rsidRDefault="00800E3B" w:rsidP="00C1396E">
      <w:pPr>
        <w:ind w:firstLine="720"/>
        <w:rPr>
          <w:rFonts w:cstheme="minorHAnsi"/>
          <w:color w:val="58595B"/>
          <w:spacing w:val="-5"/>
          <w:sz w:val="20"/>
          <w:szCs w:val="20"/>
        </w:rPr>
      </w:pPr>
      <w:r>
        <w:rPr>
          <w:rFonts w:cstheme="minorHAnsi"/>
          <w:b/>
          <w:color w:val="005EA4"/>
          <w:sz w:val="28"/>
          <w:szCs w:val="28"/>
        </w:rPr>
        <w:t>Fourth</w:t>
      </w:r>
      <w:r w:rsidR="00D0383A" w:rsidRPr="000A77AA">
        <w:rPr>
          <w:rFonts w:cstheme="minorHAnsi"/>
          <w:b/>
          <w:color w:val="005EA4"/>
          <w:sz w:val="28"/>
          <w:szCs w:val="28"/>
        </w:rPr>
        <w:t xml:space="preserve"> </w:t>
      </w:r>
      <w:r w:rsidR="00353EA1" w:rsidRPr="000A77AA">
        <w:rPr>
          <w:rFonts w:cstheme="minorHAnsi"/>
          <w:b/>
          <w:color w:val="005EA4"/>
          <w:sz w:val="28"/>
          <w:szCs w:val="28"/>
        </w:rPr>
        <w:t>Quarter 202</w:t>
      </w:r>
      <w:r w:rsidR="00EF7B59">
        <w:rPr>
          <w:rFonts w:cstheme="minorHAnsi"/>
          <w:b/>
          <w:color w:val="005EA4"/>
          <w:sz w:val="28"/>
          <w:szCs w:val="28"/>
        </w:rPr>
        <w:t>4:</w:t>
      </w:r>
      <w:r w:rsidR="00353EA1" w:rsidRPr="000A77AA">
        <w:rPr>
          <w:rFonts w:cstheme="minorHAnsi"/>
          <w:b/>
          <w:color w:val="005EA4"/>
          <w:sz w:val="28"/>
          <w:szCs w:val="28"/>
        </w:rPr>
        <w:t xml:space="preserve"> </w:t>
      </w:r>
      <w:r w:rsidR="00004887" w:rsidRPr="000A77AA">
        <w:rPr>
          <w:rFonts w:cstheme="minorHAnsi"/>
          <w:b/>
          <w:color w:val="005EA4"/>
          <w:sz w:val="28"/>
          <w:szCs w:val="28"/>
        </w:rPr>
        <w:t xml:space="preserve">Quarterly </w:t>
      </w:r>
      <w:r w:rsidR="00353EA1" w:rsidRPr="000A77AA">
        <w:rPr>
          <w:rFonts w:cstheme="minorHAnsi"/>
          <w:b/>
          <w:color w:val="005EA4"/>
          <w:sz w:val="28"/>
          <w:szCs w:val="28"/>
        </w:rPr>
        <w:t>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C1396E">
      <w:pPr>
        <w:ind w:firstLine="720"/>
        <w:rPr>
          <w:rFonts w:cstheme="minorHAnsi"/>
          <w:color w:val="58595B"/>
          <w:spacing w:val="-5"/>
          <w:sz w:val="20"/>
          <w:szCs w:val="20"/>
        </w:rPr>
        <w:sectPr w:rsidR="00353EA1" w:rsidRPr="000A77AA" w:rsidSect="009518B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0" w:right="0" w:bottom="0" w:left="0" w:header="0" w:footer="0" w:gutter="0"/>
          <w:cols w:space="720"/>
        </w:sectPr>
      </w:pPr>
    </w:p>
    <w:p w14:paraId="32B59C6D" w14:textId="30942AF2" w:rsidR="00310271" w:rsidRPr="003313DE" w:rsidRDefault="000A77AA" w:rsidP="00C1396E">
      <w:pPr>
        <w:jc w:val="center"/>
        <w:rPr>
          <w:rFonts w:eastAsia="Proxima Nova Light" w:cstheme="minorHAnsi"/>
          <w:color w:val="58595B"/>
        </w:rPr>
      </w:pPr>
      <w:r w:rsidRPr="003313DE">
        <w:rPr>
          <w:rFonts w:eastAsia="Proxima Nova Light" w:cstheme="minorHAnsi"/>
          <w:noProof/>
          <w:color w:val="58595B"/>
        </w:rPr>
        <mc:AlternateContent>
          <mc:Choice Requires="wpg">
            <w:drawing>
              <wp:inline distT="0" distB="0" distL="0" distR="0" wp14:anchorId="3F40478D" wp14:editId="6A35BD13">
                <wp:extent cx="7772400" cy="85725"/>
                <wp:effectExtent l="0" t="0" r="0" b="952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4C2D08B" id="Group 10"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0E4F0926" w14:textId="77777777" w:rsidR="003F2D44" w:rsidRPr="003313DE" w:rsidRDefault="003F2D44" w:rsidP="00C1396E">
      <w:pPr>
        <w:pStyle w:val="BodyText"/>
        <w:ind w:left="0" w:right="730"/>
        <w:rPr>
          <w:rFonts w:asciiTheme="minorHAnsi" w:hAnsiTheme="minorHAnsi" w:cstheme="minorHAnsi"/>
          <w:color w:val="58595B"/>
          <w:sz w:val="22"/>
          <w:szCs w:val="22"/>
        </w:rPr>
        <w:sectPr w:rsidR="003F2D44" w:rsidRPr="003313DE">
          <w:type w:val="continuous"/>
          <w:pgSz w:w="12240" w:h="15840"/>
          <w:pgMar w:top="0" w:right="0" w:bottom="0" w:left="0" w:header="720" w:footer="720" w:gutter="0"/>
          <w:cols w:space="720"/>
        </w:sectPr>
      </w:pPr>
    </w:p>
    <w:p w14:paraId="20C6C70B" w14:textId="77777777" w:rsidR="00C10EFC" w:rsidRPr="00BD6897" w:rsidRDefault="00C10EFC" w:rsidP="00C1396E">
      <w:pPr>
        <w:pStyle w:val="paragraph"/>
        <w:spacing w:before="0" w:beforeAutospacing="0" w:after="0" w:afterAutospacing="0"/>
        <w:textAlignment w:val="baseline"/>
        <w:rPr>
          <w:rStyle w:val="normaltextrun"/>
          <w:rFonts w:ascii="Calibri" w:hAnsi="Calibri" w:cs="Calibri"/>
          <w:color w:val="808080" w:themeColor="background1" w:themeShade="80"/>
          <w:sz w:val="22"/>
          <w:szCs w:val="22"/>
        </w:rPr>
      </w:pPr>
    </w:p>
    <w:p w14:paraId="0F13C2C1" w14:textId="6418FD42" w:rsidR="00CA5B45" w:rsidRPr="00CA5B45" w:rsidRDefault="00CA5B45" w:rsidP="00C1396E">
      <w:pPr>
        <w:rPr>
          <w:rFonts w:cstheme="minorHAnsi"/>
          <w:color w:val="58595B"/>
          <w:sz w:val="20"/>
          <w:szCs w:val="20"/>
        </w:rPr>
      </w:pPr>
      <w:r w:rsidRPr="00CA5B45">
        <w:rPr>
          <w:rFonts w:cstheme="minorHAnsi"/>
          <w:color w:val="58595B"/>
          <w:sz w:val="20"/>
          <w:szCs w:val="20"/>
        </w:rPr>
        <w:t xml:space="preserve">Last year was a banner year for stocks but not bonds. The S&amp;P 500 ended the year up 25%, while bonds, as measured by the Bloomberg Aggregate Index, returned just 1.3%. Most of the S&amp;P gain occurred before the election, with the S&amp;P 500 returning 22.6% through election day.    </w:t>
      </w:r>
    </w:p>
    <w:p w14:paraId="04231E17" w14:textId="77777777" w:rsidR="00CA5B45" w:rsidRPr="00CA5B45" w:rsidRDefault="00CA5B45" w:rsidP="00C1396E">
      <w:pPr>
        <w:rPr>
          <w:rFonts w:cstheme="minorHAnsi"/>
          <w:color w:val="58595B"/>
          <w:sz w:val="20"/>
          <w:szCs w:val="20"/>
        </w:rPr>
      </w:pPr>
    </w:p>
    <w:p w14:paraId="5245FFC4" w14:textId="249A3813" w:rsidR="00CA5B45" w:rsidRPr="00CA5B45" w:rsidRDefault="00CA5B45" w:rsidP="00C1396E">
      <w:pPr>
        <w:rPr>
          <w:rFonts w:cstheme="minorHAnsi"/>
          <w:color w:val="58595B"/>
          <w:sz w:val="20"/>
          <w:szCs w:val="20"/>
        </w:rPr>
      </w:pPr>
      <w:r w:rsidRPr="00CA5B45">
        <w:rPr>
          <w:rFonts w:cstheme="minorHAnsi"/>
          <w:color w:val="58595B"/>
          <w:sz w:val="20"/>
          <w:szCs w:val="20"/>
        </w:rPr>
        <w:t>Since election day, we have been in a version of Rod Serling</w:t>
      </w:r>
      <w:r w:rsidR="0066359F">
        <w:rPr>
          <w:rFonts w:cstheme="minorHAnsi"/>
          <w:color w:val="58595B"/>
          <w:sz w:val="20"/>
          <w:szCs w:val="20"/>
        </w:rPr>
        <w:t>'</w:t>
      </w:r>
      <w:r w:rsidRPr="00CA5B45">
        <w:rPr>
          <w:rFonts w:cstheme="minorHAnsi"/>
          <w:color w:val="58595B"/>
          <w:sz w:val="20"/>
          <w:szCs w:val="20"/>
        </w:rPr>
        <w:t xml:space="preserve">s Twilight Zone: </w:t>
      </w:r>
      <w:r w:rsidR="0066359F">
        <w:rPr>
          <w:rFonts w:cstheme="minorHAnsi"/>
          <w:color w:val="58595B"/>
          <w:sz w:val="20"/>
          <w:szCs w:val="20"/>
        </w:rPr>
        <w:t>"</w:t>
      </w:r>
      <w:r w:rsidRPr="00CA5B45">
        <w:rPr>
          <w:rFonts w:cstheme="minorHAnsi"/>
          <w:color w:val="58595B"/>
          <w:sz w:val="20"/>
          <w:szCs w:val="20"/>
        </w:rPr>
        <w:t>A journey into a wondrous land whose boundaries are that of imagination.</w:t>
      </w:r>
      <w:r w:rsidR="0066359F">
        <w:rPr>
          <w:rFonts w:cstheme="minorHAnsi"/>
          <w:color w:val="58595B"/>
          <w:sz w:val="20"/>
          <w:szCs w:val="20"/>
        </w:rPr>
        <w:t>"</w:t>
      </w:r>
      <w:r w:rsidRPr="00CA5B45">
        <w:rPr>
          <w:rFonts w:cstheme="minorHAnsi"/>
          <w:color w:val="58595B"/>
          <w:sz w:val="20"/>
          <w:szCs w:val="20"/>
        </w:rPr>
        <w:t xml:space="preserve"> This market</w:t>
      </w:r>
      <w:r w:rsidR="0066359F">
        <w:rPr>
          <w:rFonts w:cstheme="minorHAnsi"/>
          <w:color w:val="58595B"/>
          <w:sz w:val="20"/>
          <w:szCs w:val="20"/>
        </w:rPr>
        <w:t>'</w:t>
      </w:r>
      <w:r w:rsidRPr="00CA5B45">
        <w:rPr>
          <w:rFonts w:cstheme="minorHAnsi"/>
          <w:color w:val="58595B"/>
          <w:sz w:val="20"/>
          <w:szCs w:val="20"/>
        </w:rPr>
        <w:t>s Twilight Zone is from election day to January 20</w:t>
      </w:r>
      <w:r w:rsidRPr="00CA5B45">
        <w:rPr>
          <w:rFonts w:cstheme="minorHAnsi"/>
          <w:color w:val="58595B"/>
          <w:sz w:val="20"/>
          <w:szCs w:val="20"/>
          <w:vertAlign w:val="superscript"/>
        </w:rPr>
        <w:t>th</w:t>
      </w:r>
      <w:r w:rsidRPr="00CA5B45">
        <w:rPr>
          <w:rFonts w:cstheme="minorHAnsi"/>
          <w:color w:val="58595B"/>
          <w:sz w:val="20"/>
          <w:szCs w:val="20"/>
        </w:rPr>
        <w:t>, when President-elect Trump takes office. This is a period whe</w:t>
      </w:r>
      <w:r w:rsidR="00221B36">
        <w:rPr>
          <w:rFonts w:cstheme="minorHAnsi"/>
          <w:color w:val="58595B"/>
          <w:sz w:val="20"/>
          <w:szCs w:val="20"/>
        </w:rPr>
        <w:t>n markets can think about the things President Trump will do</w:t>
      </w:r>
      <w:r w:rsidRPr="00CA5B45">
        <w:rPr>
          <w:rFonts w:cstheme="minorHAnsi"/>
          <w:color w:val="58595B"/>
          <w:sz w:val="20"/>
          <w:szCs w:val="20"/>
        </w:rPr>
        <w:t xml:space="preserve"> but not experience them. Post-election, the market imagination was on full display…</w:t>
      </w:r>
    </w:p>
    <w:p w14:paraId="6271F0DF" w14:textId="77777777" w:rsidR="00CA5B45" w:rsidRPr="00CA5B45" w:rsidRDefault="00CA5B45" w:rsidP="00C1396E">
      <w:pPr>
        <w:rPr>
          <w:rFonts w:cstheme="minorHAnsi"/>
          <w:color w:val="58595B"/>
          <w:sz w:val="20"/>
          <w:szCs w:val="20"/>
        </w:rPr>
      </w:pPr>
    </w:p>
    <w:p w14:paraId="48327FB7" w14:textId="77777777" w:rsidR="00CA5B45" w:rsidRPr="00CA5B45" w:rsidRDefault="00CA5B45" w:rsidP="00521383">
      <w:pPr>
        <w:numPr>
          <w:ilvl w:val="0"/>
          <w:numId w:val="1"/>
        </w:numPr>
        <w:rPr>
          <w:rFonts w:cstheme="minorHAnsi"/>
          <w:color w:val="58595B"/>
          <w:sz w:val="20"/>
          <w:szCs w:val="20"/>
        </w:rPr>
      </w:pPr>
      <w:r w:rsidRPr="00CA5B45">
        <w:rPr>
          <w:rFonts w:cstheme="minorHAnsi"/>
          <w:color w:val="58595B"/>
          <w:sz w:val="20"/>
          <w:szCs w:val="20"/>
        </w:rPr>
        <w:t>Deregulate: buy stocks</w:t>
      </w:r>
    </w:p>
    <w:p w14:paraId="545A6E1D" w14:textId="77777777" w:rsidR="00CA5B45" w:rsidRPr="00CA5B45" w:rsidRDefault="00CA5B45" w:rsidP="00521383">
      <w:pPr>
        <w:numPr>
          <w:ilvl w:val="0"/>
          <w:numId w:val="1"/>
        </w:numPr>
        <w:rPr>
          <w:rFonts w:cstheme="minorHAnsi"/>
          <w:color w:val="58595B"/>
          <w:sz w:val="20"/>
          <w:szCs w:val="20"/>
        </w:rPr>
      </w:pPr>
      <w:r w:rsidRPr="00CA5B45">
        <w:rPr>
          <w:rFonts w:cstheme="minorHAnsi"/>
          <w:color w:val="58595B"/>
          <w:sz w:val="20"/>
          <w:szCs w:val="20"/>
        </w:rPr>
        <w:t>Cut taxes: buy stocks</w:t>
      </w:r>
    </w:p>
    <w:p w14:paraId="2C3F3830" w14:textId="77777777" w:rsidR="00CA5B45" w:rsidRPr="00CA5B45" w:rsidRDefault="00CA5B45" w:rsidP="00521383">
      <w:pPr>
        <w:numPr>
          <w:ilvl w:val="0"/>
          <w:numId w:val="1"/>
        </w:numPr>
        <w:rPr>
          <w:rFonts w:cstheme="minorHAnsi"/>
          <w:color w:val="58595B"/>
          <w:sz w:val="20"/>
          <w:szCs w:val="20"/>
        </w:rPr>
      </w:pPr>
      <w:r w:rsidRPr="00CA5B45">
        <w:rPr>
          <w:rFonts w:cstheme="minorHAnsi"/>
          <w:color w:val="58595B"/>
          <w:sz w:val="20"/>
          <w:szCs w:val="20"/>
        </w:rPr>
        <w:t>Stronger economy: buy stocks</w:t>
      </w:r>
    </w:p>
    <w:p w14:paraId="105B4143" w14:textId="77777777" w:rsidR="00CA5B45" w:rsidRPr="00CA5B45" w:rsidRDefault="00CA5B45" w:rsidP="00C1396E">
      <w:pPr>
        <w:rPr>
          <w:rFonts w:cstheme="minorHAnsi"/>
          <w:color w:val="58595B"/>
          <w:sz w:val="20"/>
          <w:szCs w:val="20"/>
        </w:rPr>
      </w:pPr>
    </w:p>
    <w:p w14:paraId="17E3672E" w14:textId="363ED3EC" w:rsidR="00CA5B45" w:rsidRPr="00CA5B45" w:rsidRDefault="00CA5B45" w:rsidP="00C1396E">
      <w:pPr>
        <w:rPr>
          <w:rFonts w:cstheme="minorHAnsi"/>
          <w:color w:val="58595B"/>
          <w:sz w:val="20"/>
          <w:szCs w:val="20"/>
        </w:rPr>
      </w:pPr>
      <w:r w:rsidRPr="00CA5B45">
        <w:rPr>
          <w:rFonts w:cstheme="minorHAnsi"/>
          <w:color w:val="58595B"/>
          <w:sz w:val="20"/>
          <w:szCs w:val="20"/>
        </w:rPr>
        <w:t xml:space="preserve">… and it showed in returns. In the first six days after the election, the S&amp;P was up 3.8%, </w:t>
      </w:r>
      <w:r w:rsidR="009959B9">
        <w:rPr>
          <w:rFonts w:cstheme="minorHAnsi"/>
          <w:color w:val="58595B"/>
          <w:sz w:val="20"/>
          <w:szCs w:val="20"/>
        </w:rPr>
        <w:t>which</w:t>
      </w:r>
      <w:r w:rsidRPr="00CA5B45">
        <w:rPr>
          <w:rFonts w:cstheme="minorHAnsi"/>
          <w:color w:val="58595B"/>
          <w:sz w:val="20"/>
          <w:szCs w:val="20"/>
        </w:rPr>
        <w:t xml:space="preserve"> is 19 times greater than the historical average weekly return of about 0.2%. So, traders</w:t>
      </w:r>
      <w:r w:rsidR="0066359F">
        <w:rPr>
          <w:rFonts w:cstheme="minorHAnsi"/>
          <w:color w:val="58595B"/>
          <w:sz w:val="20"/>
          <w:szCs w:val="20"/>
        </w:rPr>
        <w:t>'</w:t>
      </w:r>
      <w:r w:rsidRPr="00CA5B45">
        <w:rPr>
          <w:rFonts w:cstheme="minorHAnsi"/>
          <w:color w:val="58595B"/>
          <w:sz w:val="20"/>
          <w:szCs w:val="20"/>
        </w:rPr>
        <w:t xml:space="preserve"> imaginations ran a bit wild in the week after the election. The frenzy continued for a month, with the S&amp;P returning 5.5% from 11/5 to 12/6. From there, the market imagination turned toward other aspects of President-elect Trump</w:t>
      </w:r>
      <w:r w:rsidR="0066359F">
        <w:rPr>
          <w:rFonts w:cstheme="minorHAnsi"/>
          <w:color w:val="58595B"/>
          <w:sz w:val="20"/>
          <w:szCs w:val="20"/>
        </w:rPr>
        <w:t>'</w:t>
      </w:r>
      <w:r w:rsidRPr="00CA5B45">
        <w:rPr>
          <w:rFonts w:cstheme="minorHAnsi"/>
          <w:color w:val="58595B"/>
          <w:sz w:val="20"/>
          <w:szCs w:val="20"/>
        </w:rPr>
        <w:t>s campaign promises:</w:t>
      </w:r>
    </w:p>
    <w:p w14:paraId="09FA2043" w14:textId="77777777" w:rsidR="00CA5B45" w:rsidRPr="00CA5B45" w:rsidRDefault="00CA5B45" w:rsidP="00C1396E">
      <w:pPr>
        <w:rPr>
          <w:rFonts w:cstheme="minorHAnsi"/>
          <w:color w:val="58595B"/>
          <w:sz w:val="20"/>
          <w:szCs w:val="20"/>
        </w:rPr>
      </w:pPr>
    </w:p>
    <w:p w14:paraId="5BB467EE" w14:textId="77777777" w:rsidR="00CA5B45" w:rsidRPr="00CA5B45" w:rsidRDefault="00CA5B45" w:rsidP="00521383">
      <w:pPr>
        <w:numPr>
          <w:ilvl w:val="0"/>
          <w:numId w:val="1"/>
        </w:numPr>
        <w:rPr>
          <w:rFonts w:cstheme="minorHAnsi"/>
          <w:color w:val="58595B"/>
          <w:sz w:val="20"/>
          <w:szCs w:val="20"/>
        </w:rPr>
      </w:pPr>
      <w:r w:rsidRPr="00CA5B45">
        <w:rPr>
          <w:rFonts w:cstheme="minorHAnsi"/>
          <w:color w:val="58595B"/>
          <w:sz w:val="20"/>
          <w:szCs w:val="20"/>
        </w:rPr>
        <w:t>Mass deportations: sell stocks (risks are higher inflation and lower growth)</w:t>
      </w:r>
    </w:p>
    <w:p w14:paraId="3303FB24" w14:textId="77777777" w:rsidR="00CA5B45" w:rsidRPr="00CA5B45" w:rsidRDefault="00CA5B45" w:rsidP="00521383">
      <w:pPr>
        <w:numPr>
          <w:ilvl w:val="0"/>
          <w:numId w:val="1"/>
        </w:numPr>
        <w:rPr>
          <w:rFonts w:cstheme="minorHAnsi"/>
          <w:color w:val="58595B"/>
          <w:sz w:val="20"/>
          <w:szCs w:val="20"/>
        </w:rPr>
      </w:pPr>
      <w:r w:rsidRPr="00CA5B45">
        <w:rPr>
          <w:rFonts w:cstheme="minorHAnsi"/>
          <w:color w:val="58595B"/>
          <w:sz w:val="20"/>
          <w:szCs w:val="20"/>
        </w:rPr>
        <w:t>Mass Tariffs: sell stocks (risks are higher inflation and a tariff/trade war)</w:t>
      </w:r>
    </w:p>
    <w:p w14:paraId="3AC65A36" w14:textId="77777777" w:rsidR="00CA5B45" w:rsidRPr="00CA5B45" w:rsidRDefault="00CA5B45" w:rsidP="00521383">
      <w:pPr>
        <w:numPr>
          <w:ilvl w:val="0"/>
          <w:numId w:val="1"/>
        </w:numPr>
        <w:rPr>
          <w:rFonts w:cstheme="minorHAnsi"/>
          <w:color w:val="58595B"/>
          <w:sz w:val="20"/>
          <w:szCs w:val="20"/>
        </w:rPr>
      </w:pPr>
      <w:r w:rsidRPr="00CA5B45">
        <w:rPr>
          <w:rFonts w:cstheme="minorHAnsi"/>
          <w:color w:val="58595B"/>
          <w:sz w:val="20"/>
          <w:szCs w:val="20"/>
        </w:rPr>
        <w:t xml:space="preserve">Tariff retaliation/trade war: sell stocks (bad for growth)     </w:t>
      </w:r>
    </w:p>
    <w:p w14:paraId="667FA40E" w14:textId="77777777" w:rsidR="00CA5B45" w:rsidRPr="00CA5B45" w:rsidRDefault="00CA5B45" w:rsidP="00C1396E">
      <w:pPr>
        <w:rPr>
          <w:rFonts w:cstheme="minorHAnsi"/>
          <w:color w:val="58595B"/>
          <w:sz w:val="20"/>
          <w:szCs w:val="20"/>
        </w:rPr>
      </w:pPr>
    </w:p>
    <w:p w14:paraId="49C59024" w14:textId="36F17FDE" w:rsidR="00CA5B45" w:rsidRPr="00CA5B45" w:rsidRDefault="00CA5B45" w:rsidP="00C1396E">
      <w:pPr>
        <w:rPr>
          <w:rFonts w:cstheme="minorHAnsi"/>
          <w:color w:val="58595B"/>
          <w:sz w:val="20"/>
          <w:szCs w:val="20"/>
        </w:rPr>
      </w:pPr>
      <w:r w:rsidRPr="00CA5B45">
        <w:rPr>
          <w:rFonts w:cstheme="minorHAnsi"/>
          <w:color w:val="58595B"/>
          <w:sz w:val="20"/>
          <w:szCs w:val="20"/>
        </w:rPr>
        <w:t>From the 12/6 high to the end of 2024, the S&amp;P 500 lost 3.4%. It was also down for the month of December by 2.4%. So, the market imagination can run wild in both directions.</w:t>
      </w:r>
    </w:p>
    <w:p w14:paraId="3B3793DD" w14:textId="77777777" w:rsidR="00CA5B45" w:rsidRPr="00CA5B45" w:rsidRDefault="00CA5B45" w:rsidP="00C1396E">
      <w:pPr>
        <w:rPr>
          <w:rFonts w:cstheme="minorHAnsi"/>
          <w:color w:val="58595B"/>
          <w:sz w:val="20"/>
          <w:szCs w:val="20"/>
        </w:rPr>
      </w:pPr>
    </w:p>
    <w:p w14:paraId="5E305682" w14:textId="5DA583A7" w:rsidR="00CA5B45" w:rsidRPr="00CA5B45" w:rsidRDefault="00CA5B45" w:rsidP="00C1396E">
      <w:pPr>
        <w:rPr>
          <w:rFonts w:cstheme="minorHAnsi"/>
          <w:color w:val="58595B"/>
          <w:sz w:val="20"/>
          <w:szCs w:val="20"/>
        </w:rPr>
      </w:pPr>
      <w:r w:rsidRPr="00CA5B45">
        <w:rPr>
          <w:rFonts w:cstheme="minorHAnsi"/>
          <w:color w:val="58595B"/>
          <w:sz w:val="20"/>
          <w:szCs w:val="20"/>
        </w:rPr>
        <w:t xml:space="preserve">Herein lies the challenge. This market imagination game is not one we want to play. It is played by short-timeframe traders, some professional, some not. The </w:t>
      </w:r>
      <w:r w:rsidR="0066359F">
        <w:rPr>
          <w:rFonts w:cstheme="minorHAnsi"/>
          <w:color w:val="58595B"/>
          <w:sz w:val="20"/>
          <w:szCs w:val="20"/>
        </w:rPr>
        <w:t>"</w:t>
      </w:r>
      <w:r w:rsidRPr="00CA5B45">
        <w:rPr>
          <w:rFonts w:cstheme="minorHAnsi"/>
          <w:color w:val="58595B"/>
          <w:sz w:val="20"/>
          <w:szCs w:val="20"/>
        </w:rPr>
        <w:t>not</w:t>
      </w:r>
      <w:r w:rsidR="0066359F">
        <w:rPr>
          <w:rFonts w:cstheme="minorHAnsi"/>
          <w:color w:val="58595B"/>
          <w:sz w:val="20"/>
          <w:szCs w:val="20"/>
        </w:rPr>
        <w:t>"</w:t>
      </w:r>
      <w:r w:rsidRPr="00CA5B45">
        <w:rPr>
          <w:rFonts w:cstheme="minorHAnsi"/>
          <w:color w:val="58595B"/>
          <w:sz w:val="20"/>
          <w:szCs w:val="20"/>
        </w:rPr>
        <w:t xml:space="preserve"> group </w:t>
      </w:r>
      <w:r w:rsidR="00CC1140">
        <w:rPr>
          <w:rFonts w:cstheme="minorHAnsi"/>
          <w:color w:val="58595B"/>
          <w:sz w:val="20"/>
          <w:szCs w:val="20"/>
        </w:rPr>
        <w:t>is</w:t>
      </w:r>
      <w:r w:rsidRPr="00CA5B45">
        <w:rPr>
          <w:rFonts w:cstheme="minorHAnsi"/>
          <w:color w:val="58595B"/>
          <w:sz w:val="20"/>
          <w:szCs w:val="20"/>
        </w:rPr>
        <w:t xml:space="preserve"> typically pseudo-information traders. They eventually lose their money, like an amateur at a casino blackjack table. The wise ones limit the amount of money they put at risk and call it entertainment, or they don</w:t>
      </w:r>
      <w:r w:rsidR="0066359F">
        <w:rPr>
          <w:rFonts w:cstheme="minorHAnsi"/>
          <w:color w:val="58595B"/>
          <w:sz w:val="20"/>
          <w:szCs w:val="20"/>
        </w:rPr>
        <w:t>'</w:t>
      </w:r>
      <w:r w:rsidRPr="00CA5B45">
        <w:rPr>
          <w:rFonts w:cstheme="minorHAnsi"/>
          <w:color w:val="58595B"/>
          <w:sz w:val="20"/>
          <w:szCs w:val="20"/>
        </w:rPr>
        <w:t xml:space="preserve">t play at all.  </w:t>
      </w:r>
    </w:p>
    <w:p w14:paraId="7F738F2A" w14:textId="77777777" w:rsidR="00CA5B45" w:rsidRPr="00CA5B45" w:rsidRDefault="00CA5B45" w:rsidP="00C1396E">
      <w:pPr>
        <w:rPr>
          <w:rFonts w:cstheme="minorHAnsi"/>
          <w:color w:val="58595B"/>
          <w:sz w:val="20"/>
          <w:szCs w:val="20"/>
        </w:rPr>
      </w:pPr>
    </w:p>
    <w:p w14:paraId="0F484B93" w14:textId="7168158F" w:rsidR="00CA5B45" w:rsidRPr="00CA5B45" w:rsidRDefault="00CA5B45" w:rsidP="00C1396E">
      <w:pPr>
        <w:rPr>
          <w:rFonts w:cstheme="minorHAnsi"/>
          <w:color w:val="58595B"/>
          <w:sz w:val="20"/>
          <w:szCs w:val="20"/>
        </w:rPr>
      </w:pPr>
      <w:r w:rsidRPr="00CA5B45">
        <w:rPr>
          <w:rFonts w:cstheme="minorHAnsi"/>
          <w:color w:val="58595B"/>
          <w:sz w:val="20"/>
          <w:szCs w:val="20"/>
        </w:rPr>
        <w:t xml:space="preserve">On the other hand, </w:t>
      </w:r>
      <w:proofErr w:type="gramStart"/>
      <w:r w:rsidRPr="00CA5B45">
        <w:rPr>
          <w:rFonts w:cstheme="minorHAnsi"/>
          <w:color w:val="58595B"/>
          <w:sz w:val="20"/>
          <w:szCs w:val="20"/>
        </w:rPr>
        <w:t>the professional</w:t>
      </w:r>
      <w:proofErr w:type="gramEnd"/>
      <w:r w:rsidRPr="00CA5B45">
        <w:rPr>
          <w:rFonts w:cstheme="minorHAnsi"/>
          <w:color w:val="58595B"/>
          <w:sz w:val="20"/>
          <w:szCs w:val="20"/>
        </w:rPr>
        <w:t xml:space="preserve"> traders, like card-counters, are true information-based traders. Card counters adjust their bets based on how probabilities change as the cards unfold. Likewise, professional information-based traders adjust positions as new information arises (e.g.</w:t>
      </w:r>
      <w:r w:rsidR="008A6216">
        <w:rPr>
          <w:rFonts w:cstheme="minorHAnsi"/>
          <w:color w:val="58595B"/>
          <w:sz w:val="20"/>
          <w:szCs w:val="20"/>
        </w:rPr>
        <w:t>,</w:t>
      </w:r>
      <w:r w:rsidRPr="00CA5B45">
        <w:rPr>
          <w:rFonts w:cstheme="minorHAnsi"/>
          <w:color w:val="58595B"/>
          <w:sz w:val="20"/>
          <w:szCs w:val="20"/>
        </w:rPr>
        <w:t xml:space="preserve"> former President Trump winning re-election) that is not yet reflected in market prices. Through this process</w:t>
      </w:r>
      <w:r w:rsidR="008A6216">
        <w:rPr>
          <w:rFonts w:cstheme="minorHAnsi"/>
          <w:color w:val="58595B"/>
          <w:sz w:val="20"/>
          <w:szCs w:val="20"/>
        </w:rPr>
        <w:t>,</w:t>
      </w:r>
      <w:r w:rsidRPr="00CA5B45">
        <w:rPr>
          <w:rFonts w:cstheme="minorHAnsi"/>
          <w:color w:val="58595B"/>
          <w:sz w:val="20"/>
          <w:szCs w:val="20"/>
        </w:rPr>
        <w:t xml:space="preserve"> they help keep markets efficient as prices adjust to reflect the new probabilities. They have the necessary resources and capacity to assess and act on new information on a daily or intra-day basis. For professional traders, it is a business, not a game.</w:t>
      </w:r>
    </w:p>
    <w:p w14:paraId="6388100E" w14:textId="77777777" w:rsidR="00CA5B45" w:rsidRPr="00CA5B45" w:rsidRDefault="00CA5B45" w:rsidP="00C1396E">
      <w:pPr>
        <w:rPr>
          <w:rFonts w:cstheme="minorHAnsi"/>
          <w:color w:val="58595B"/>
          <w:sz w:val="20"/>
          <w:szCs w:val="20"/>
        </w:rPr>
      </w:pPr>
    </w:p>
    <w:p w14:paraId="75DCD820" w14:textId="4B6251DA" w:rsidR="00CA5B45" w:rsidRPr="00CA5B45" w:rsidRDefault="00CA5B45" w:rsidP="00C1396E">
      <w:pPr>
        <w:rPr>
          <w:rFonts w:cstheme="minorHAnsi"/>
          <w:color w:val="58595B"/>
          <w:sz w:val="20"/>
          <w:szCs w:val="20"/>
        </w:rPr>
      </w:pPr>
      <w:r w:rsidRPr="00CA5B45">
        <w:rPr>
          <w:rFonts w:cstheme="minorHAnsi"/>
          <w:color w:val="58595B"/>
          <w:sz w:val="20"/>
          <w:szCs w:val="20"/>
        </w:rPr>
        <w:t xml:space="preserve">Most people do not want to be loser pseudo-information traders, nor are they able to be professional information-based traders. Professional trading is a full-time job, and most of us have full-time jobs already. Further, professional traders also sock money away </w:t>
      </w:r>
      <w:r w:rsidR="00CA315B">
        <w:rPr>
          <w:rFonts w:cstheme="minorHAnsi"/>
          <w:color w:val="58595B"/>
          <w:sz w:val="20"/>
          <w:szCs w:val="20"/>
        </w:rPr>
        <w:t>to live</w:t>
      </w:r>
      <w:r w:rsidRPr="00CA5B45">
        <w:rPr>
          <w:rFonts w:cstheme="minorHAnsi"/>
          <w:color w:val="58595B"/>
          <w:sz w:val="20"/>
          <w:szCs w:val="20"/>
        </w:rPr>
        <w:t xml:space="preserve"> well in retirement like everyone else. When they do, their </w:t>
      </w:r>
      <w:r w:rsidR="0066359F">
        <w:rPr>
          <w:rFonts w:cstheme="minorHAnsi"/>
          <w:color w:val="58595B"/>
          <w:sz w:val="20"/>
          <w:szCs w:val="20"/>
        </w:rPr>
        <w:t>"</w:t>
      </w:r>
      <w:r w:rsidRPr="00CA5B45">
        <w:rPr>
          <w:rFonts w:cstheme="minorHAnsi"/>
          <w:i/>
          <w:iCs/>
          <w:color w:val="58595B"/>
          <w:sz w:val="20"/>
          <w:szCs w:val="20"/>
        </w:rPr>
        <w:t>live-well</w:t>
      </w:r>
      <w:r w:rsidR="0066359F">
        <w:rPr>
          <w:rFonts w:cstheme="minorHAnsi"/>
          <w:i/>
          <w:iCs/>
          <w:color w:val="58595B"/>
          <w:sz w:val="20"/>
          <w:szCs w:val="20"/>
        </w:rPr>
        <w:t>"</w:t>
      </w:r>
      <w:r w:rsidRPr="00CA5B45">
        <w:rPr>
          <w:rFonts w:cstheme="minorHAnsi"/>
          <w:color w:val="58595B"/>
          <w:sz w:val="20"/>
          <w:szCs w:val="20"/>
        </w:rPr>
        <w:t xml:space="preserve"> portfolios are invested for the long</w:t>
      </w:r>
      <w:r w:rsidR="009736E7">
        <w:rPr>
          <w:rFonts w:cstheme="minorHAnsi"/>
          <w:color w:val="58595B"/>
          <w:sz w:val="20"/>
          <w:szCs w:val="20"/>
        </w:rPr>
        <w:t>-</w:t>
      </w:r>
      <w:r w:rsidRPr="00CA5B45">
        <w:rPr>
          <w:rFonts w:cstheme="minorHAnsi"/>
          <w:color w:val="58595B"/>
          <w:sz w:val="20"/>
          <w:szCs w:val="20"/>
        </w:rPr>
        <w:t>term using asset allocation strategies that seek to capture the compensation-for-bearing</w:t>
      </w:r>
      <w:r w:rsidR="009736E7">
        <w:rPr>
          <w:rFonts w:cstheme="minorHAnsi"/>
          <w:color w:val="58595B"/>
          <w:sz w:val="20"/>
          <w:szCs w:val="20"/>
        </w:rPr>
        <w:t xml:space="preserve"> </w:t>
      </w:r>
      <w:r w:rsidRPr="00CA5B45">
        <w:rPr>
          <w:rFonts w:cstheme="minorHAnsi"/>
          <w:color w:val="58595B"/>
          <w:sz w:val="20"/>
          <w:szCs w:val="20"/>
        </w:rPr>
        <w:t>risk offered by the markets. This typically means setting a strategic asset allocation that aligns with your long-term goals, then adjusting as your situation changes or, at the margin, when relative valuation across asset classes suggest</w:t>
      </w:r>
      <w:r w:rsidR="00C3344B">
        <w:rPr>
          <w:rFonts w:cstheme="minorHAnsi"/>
          <w:color w:val="58595B"/>
          <w:sz w:val="20"/>
          <w:szCs w:val="20"/>
        </w:rPr>
        <w:t>s we can improve expected compensation for bearing risk by adjusting</w:t>
      </w:r>
      <w:r w:rsidRPr="00CA5B45">
        <w:rPr>
          <w:rFonts w:cstheme="minorHAnsi"/>
          <w:color w:val="58595B"/>
          <w:sz w:val="20"/>
          <w:szCs w:val="20"/>
        </w:rPr>
        <w:t xml:space="preserve">. Essentially, </w:t>
      </w:r>
      <w:r w:rsidRPr="00CA5B45">
        <w:rPr>
          <w:rFonts w:cstheme="minorHAnsi"/>
          <w:i/>
          <w:iCs/>
          <w:color w:val="58595B"/>
          <w:sz w:val="20"/>
          <w:szCs w:val="20"/>
        </w:rPr>
        <w:t xml:space="preserve">live-well </w:t>
      </w:r>
      <w:r w:rsidRPr="00CA5B45">
        <w:rPr>
          <w:rFonts w:cstheme="minorHAnsi"/>
          <w:color w:val="58595B"/>
          <w:sz w:val="20"/>
          <w:szCs w:val="20"/>
        </w:rPr>
        <w:t xml:space="preserve">investors are valuation-based, long-term growth and income investors.  </w:t>
      </w:r>
    </w:p>
    <w:p w14:paraId="345C4B2C" w14:textId="77777777" w:rsidR="00CA5B45" w:rsidRPr="00CA5B45" w:rsidRDefault="00CA5B45" w:rsidP="00C1396E">
      <w:pPr>
        <w:rPr>
          <w:rFonts w:cstheme="minorHAnsi"/>
          <w:color w:val="58595B"/>
          <w:sz w:val="20"/>
          <w:szCs w:val="20"/>
        </w:rPr>
      </w:pPr>
    </w:p>
    <w:p w14:paraId="53BCA116" w14:textId="736357D1" w:rsidR="00CA5B45" w:rsidRPr="00CA5B45" w:rsidRDefault="00CA5B45" w:rsidP="00C1396E">
      <w:pPr>
        <w:rPr>
          <w:rFonts w:cstheme="minorHAnsi"/>
          <w:color w:val="58595B"/>
          <w:sz w:val="20"/>
          <w:szCs w:val="20"/>
        </w:rPr>
      </w:pPr>
      <w:r w:rsidRPr="00CA5B45">
        <w:rPr>
          <w:rFonts w:cstheme="minorHAnsi"/>
          <w:color w:val="58595B"/>
          <w:sz w:val="20"/>
          <w:szCs w:val="20"/>
        </w:rPr>
        <w:t xml:space="preserve">So, how does a valuation-based, long-term investor see this market? The U.S. economy and stock market have been the envy of the world, having consistently outperformed our peers for many years. The last two years produced an annualized return of over 25% per year. The last time the S&amp;P 500 produced a two-year annualized return </w:t>
      </w:r>
      <w:r w:rsidR="00527915">
        <w:rPr>
          <w:rFonts w:cstheme="minorHAnsi"/>
          <w:color w:val="58595B"/>
          <w:sz w:val="20"/>
          <w:szCs w:val="20"/>
        </w:rPr>
        <w:t>of nearly</w:t>
      </w:r>
      <w:r w:rsidRPr="00CA5B45">
        <w:rPr>
          <w:rFonts w:cstheme="minorHAnsi"/>
          <w:color w:val="58595B"/>
          <w:sz w:val="20"/>
          <w:szCs w:val="20"/>
        </w:rPr>
        <w:t xml:space="preserve"> 25% was </w:t>
      </w:r>
      <w:r w:rsidR="00527915">
        <w:rPr>
          <w:rFonts w:cstheme="minorHAnsi"/>
          <w:color w:val="58595B"/>
          <w:sz w:val="20"/>
          <w:szCs w:val="20"/>
        </w:rPr>
        <w:t xml:space="preserve">in </w:t>
      </w:r>
      <w:r w:rsidRPr="00CA5B45">
        <w:rPr>
          <w:rFonts w:cstheme="minorHAnsi"/>
          <w:color w:val="58595B"/>
          <w:sz w:val="20"/>
          <w:szCs w:val="20"/>
        </w:rPr>
        <w:t>1998 and 1999. That was the peak of the tech bubble. This is not to say that the market is destined to crash from here. That will depend on the evolution of President Trump</w:t>
      </w:r>
      <w:r w:rsidR="0066359F">
        <w:rPr>
          <w:rFonts w:cstheme="minorHAnsi"/>
          <w:color w:val="58595B"/>
          <w:sz w:val="20"/>
          <w:szCs w:val="20"/>
        </w:rPr>
        <w:t>'</w:t>
      </w:r>
      <w:r w:rsidRPr="00CA5B45">
        <w:rPr>
          <w:rFonts w:cstheme="minorHAnsi"/>
          <w:color w:val="58595B"/>
          <w:sz w:val="20"/>
          <w:szCs w:val="20"/>
        </w:rPr>
        <w:t xml:space="preserve">s policies.  </w:t>
      </w:r>
    </w:p>
    <w:p w14:paraId="067CBB7D" w14:textId="77777777" w:rsidR="00CA5B45" w:rsidRPr="00CA5B45" w:rsidRDefault="00CA5B45" w:rsidP="00C1396E">
      <w:pPr>
        <w:rPr>
          <w:rFonts w:cstheme="minorHAnsi"/>
          <w:color w:val="58595B"/>
          <w:sz w:val="20"/>
          <w:szCs w:val="20"/>
        </w:rPr>
      </w:pPr>
    </w:p>
    <w:p w14:paraId="7A314C80" w14:textId="77777777" w:rsidR="00CA5B45" w:rsidRPr="00CA5B45" w:rsidRDefault="00CA5B45" w:rsidP="00C1396E">
      <w:pPr>
        <w:rPr>
          <w:rFonts w:cstheme="minorHAnsi"/>
          <w:color w:val="58595B"/>
          <w:sz w:val="20"/>
          <w:szCs w:val="20"/>
        </w:rPr>
      </w:pPr>
      <w:r w:rsidRPr="00CA5B45">
        <w:rPr>
          <w:rFonts w:cstheme="minorHAnsi"/>
          <w:color w:val="58595B"/>
          <w:sz w:val="20"/>
          <w:szCs w:val="20"/>
        </w:rPr>
        <w:t xml:space="preserve">The good news is that Mr. Trump is very sensitive to stock market performance. So, if he makes some early missteps, we </w:t>
      </w:r>
      <w:proofErr w:type="gramStart"/>
      <w:r w:rsidRPr="00CA5B45">
        <w:rPr>
          <w:rFonts w:cstheme="minorHAnsi"/>
          <w:color w:val="58595B"/>
          <w:sz w:val="20"/>
          <w:szCs w:val="20"/>
        </w:rPr>
        <w:t>would expect</w:t>
      </w:r>
      <w:proofErr w:type="gramEnd"/>
      <w:r w:rsidRPr="00CA5B45">
        <w:rPr>
          <w:rFonts w:cstheme="minorHAnsi"/>
          <w:color w:val="58595B"/>
          <w:sz w:val="20"/>
          <w:szCs w:val="20"/>
        </w:rPr>
        <w:t xml:space="preserve"> him to adjust based on the market response.</w:t>
      </w:r>
    </w:p>
    <w:p w14:paraId="5050BD24" w14:textId="77777777" w:rsidR="00CA5B45" w:rsidRPr="00CA5B45" w:rsidRDefault="00CA5B45" w:rsidP="00C1396E">
      <w:pPr>
        <w:rPr>
          <w:rFonts w:cstheme="minorHAnsi"/>
          <w:color w:val="58595B"/>
          <w:sz w:val="20"/>
          <w:szCs w:val="20"/>
        </w:rPr>
      </w:pPr>
    </w:p>
    <w:p w14:paraId="4474E49F" w14:textId="77777777" w:rsidR="00CA5B45" w:rsidRPr="00CA5B45" w:rsidRDefault="00CA5B45" w:rsidP="00C1396E">
      <w:pPr>
        <w:rPr>
          <w:rFonts w:cstheme="minorHAnsi"/>
          <w:color w:val="58595B"/>
          <w:sz w:val="20"/>
          <w:szCs w:val="20"/>
        </w:rPr>
      </w:pPr>
      <w:r w:rsidRPr="00CA5B45">
        <w:rPr>
          <w:rFonts w:cstheme="minorHAnsi"/>
          <w:color w:val="58595B"/>
          <w:sz w:val="20"/>
          <w:szCs w:val="20"/>
        </w:rPr>
        <w:lastRenderedPageBreak/>
        <w:t>The bad news is valuation:</w:t>
      </w:r>
    </w:p>
    <w:p w14:paraId="537379BB" w14:textId="77777777" w:rsidR="00CA5B45" w:rsidRPr="00CA5B45" w:rsidRDefault="00CA5B45" w:rsidP="00C1396E">
      <w:pPr>
        <w:rPr>
          <w:rFonts w:cstheme="minorHAnsi"/>
          <w:color w:val="58595B"/>
          <w:sz w:val="20"/>
          <w:szCs w:val="20"/>
        </w:rPr>
      </w:pPr>
      <w:r w:rsidRPr="00CA5B45">
        <w:rPr>
          <w:rFonts w:cstheme="minorHAnsi"/>
          <w:color w:val="58595B"/>
          <w:sz w:val="20"/>
          <w:szCs w:val="20"/>
        </w:rPr>
        <w:t xml:space="preserve"> </w:t>
      </w:r>
      <w:r w:rsidRPr="00CA5B45">
        <w:rPr>
          <w:rFonts w:cstheme="minorHAnsi"/>
          <w:color w:val="58595B"/>
          <w:sz w:val="20"/>
          <w:szCs w:val="20"/>
        </w:rPr>
        <w:drawing>
          <wp:inline distT="0" distB="0" distL="0" distR="0" wp14:anchorId="3A5646EE" wp14:editId="1AEBDC93">
            <wp:extent cx="5950256" cy="2654436"/>
            <wp:effectExtent l="0" t="0" r="0" b="0"/>
            <wp:docPr id="1558894220" name="Picture 1" descr="A graph of a number of blue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94220" name="Picture 1" descr="A graph of a number of blue bars&#10;&#10;Description automatically generated with medium confidence"/>
                    <pic:cNvPicPr/>
                  </pic:nvPicPr>
                  <pic:blipFill>
                    <a:blip r:embed="rId18"/>
                    <a:stretch>
                      <a:fillRect/>
                    </a:stretch>
                  </pic:blipFill>
                  <pic:spPr>
                    <a:xfrm>
                      <a:off x="0" y="0"/>
                      <a:ext cx="5950256" cy="2654436"/>
                    </a:xfrm>
                    <a:prstGeom prst="rect">
                      <a:avLst/>
                    </a:prstGeom>
                  </pic:spPr>
                </pic:pic>
              </a:graphicData>
            </a:graphic>
          </wp:inline>
        </w:drawing>
      </w:r>
    </w:p>
    <w:p w14:paraId="1011F033" w14:textId="087DD5F0" w:rsidR="00CA5B45" w:rsidRPr="00CA5B45" w:rsidRDefault="00CA5B45" w:rsidP="00C1396E">
      <w:pPr>
        <w:rPr>
          <w:rFonts w:cstheme="minorHAnsi"/>
          <w:color w:val="58595B"/>
          <w:sz w:val="20"/>
          <w:szCs w:val="20"/>
        </w:rPr>
      </w:pPr>
      <w:r w:rsidRPr="00CA5B45">
        <w:rPr>
          <w:rFonts w:cstheme="minorHAnsi"/>
          <w:color w:val="58595B"/>
          <w:sz w:val="20"/>
          <w:szCs w:val="20"/>
        </w:rPr>
        <w:t xml:space="preserve">The measure used for the chart is the Shiller (Yale economist who published the book </w:t>
      </w:r>
      <w:r w:rsidR="0066359F">
        <w:rPr>
          <w:rFonts w:cstheme="minorHAnsi"/>
          <w:color w:val="58595B"/>
          <w:sz w:val="20"/>
          <w:szCs w:val="20"/>
        </w:rPr>
        <w:t>"</w:t>
      </w:r>
      <w:r w:rsidRPr="00CA5B45">
        <w:rPr>
          <w:rFonts w:cstheme="minorHAnsi"/>
          <w:color w:val="58595B"/>
          <w:sz w:val="20"/>
          <w:szCs w:val="20"/>
        </w:rPr>
        <w:t>Irrational Exuberance</w:t>
      </w:r>
      <w:r w:rsidR="0066359F">
        <w:rPr>
          <w:rFonts w:cstheme="minorHAnsi"/>
          <w:color w:val="58595B"/>
          <w:sz w:val="20"/>
          <w:szCs w:val="20"/>
        </w:rPr>
        <w:t>"</w:t>
      </w:r>
      <w:r w:rsidRPr="00CA5B45">
        <w:rPr>
          <w:rFonts w:cstheme="minorHAnsi"/>
          <w:color w:val="58595B"/>
          <w:sz w:val="20"/>
          <w:szCs w:val="20"/>
        </w:rPr>
        <w:t xml:space="preserve"> at the peak of the tech bubble) cyclically adjusted P/E ratio, also known as the CAPE ratio. It uses 10-year average earnings rather than the trailing 12 months to reduce noise in the measurement.  </w:t>
      </w:r>
    </w:p>
    <w:p w14:paraId="1B389245" w14:textId="77777777" w:rsidR="00CA5B45" w:rsidRPr="00CA5B45" w:rsidRDefault="00CA5B45" w:rsidP="00C1396E">
      <w:pPr>
        <w:rPr>
          <w:rFonts w:cstheme="minorHAnsi"/>
          <w:color w:val="58595B"/>
          <w:sz w:val="20"/>
          <w:szCs w:val="20"/>
        </w:rPr>
      </w:pPr>
    </w:p>
    <w:p w14:paraId="64502E51" w14:textId="084FE1E1" w:rsidR="00CA5B45" w:rsidRPr="00CA5B45" w:rsidRDefault="00CA5B45" w:rsidP="00C1396E">
      <w:pPr>
        <w:rPr>
          <w:rFonts w:cstheme="minorHAnsi"/>
          <w:color w:val="58595B"/>
          <w:sz w:val="20"/>
          <w:szCs w:val="20"/>
        </w:rPr>
      </w:pPr>
      <w:r w:rsidRPr="00CA5B45">
        <w:rPr>
          <w:rFonts w:cstheme="minorHAnsi"/>
          <w:color w:val="58595B"/>
          <w:sz w:val="20"/>
          <w:szCs w:val="20"/>
        </w:rPr>
        <w:t>The 5</w:t>
      </w:r>
      <w:r w:rsidRPr="00CA5B45">
        <w:rPr>
          <w:rFonts w:cstheme="minorHAnsi"/>
          <w:color w:val="58595B"/>
          <w:sz w:val="20"/>
          <w:szCs w:val="20"/>
          <w:vertAlign w:val="superscript"/>
        </w:rPr>
        <w:t>th</w:t>
      </w:r>
      <w:r w:rsidRPr="00CA5B45">
        <w:rPr>
          <w:rFonts w:cstheme="minorHAnsi"/>
          <w:color w:val="58595B"/>
          <w:sz w:val="20"/>
          <w:szCs w:val="20"/>
        </w:rPr>
        <w:t xml:space="preserve"> quintile </w:t>
      </w:r>
      <w:r w:rsidR="008D7070">
        <w:rPr>
          <w:rFonts w:cstheme="minorHAnsi"/>
          <w:color w:val="58595B"/>
          <w:sz w:val="20"/>
          <w:szCs w:val="20"/>
        </w:rPr>
        <w:t>historically contains the highest 20% of P/E ratios</w:t>
      </w:r>
      <w:r w:rsidRPr="00CA5B45">
        <w:rPr>
          <w:rFonts w:cstheme="minorHAnsi"/>
          <w:color w:val="58595B"/>
          <w:sz w:val="20"/>
          <w:szCs w:val="20"/>
        </w:rPr>
        <w:t xml:space="preserve"> and has the lowest subsequent 10-year returns. As you can see, valuation is a powerful forecasting tool over 10-year horizons. Currently, we are near the dividing line between the 4</w:t>
      </w:r>
      <w:r w:rsidRPr="00CA5B45">
        <w:rPr>
          <w:rFonts w:cstheme="minorHAnsi"/>
          <w:color w:val="58595B"/>
          <w:sz w:val="20"/>
          <w:szCs w:val="20"/>
          <w:vertAlign w:val="superscript"/>
        </w:rPr>
        <w:t>th</w:t>
      </w:r>
      <w:r w:rsidRPr="00CA5B45">
        <w:rPr>
          <w:rFonts w:cstheme="minorHAnsi"/>
          <w:color w:val="58595B"/>
          <w:sz w:val="20"/>
          <w:szCs w:val="20"/>
        </w:rPr>
        <w:t xml:space="preserve"> and 5</w:t>
      </w:r>
      <w:r w:rsidRPr="00CA5B45">
        <w:rPr>
          <w:rFonts w:cstheme="minorHAnsi"/>
          <w:color w:val="58595B"/>
          <w:sz w:val="20"/>
          <w:szCs w:val="20"/>
          <w:vertAlign w:val="superscript"/>
        </w:rPr>
        <w:t>th</w:t>
      </w:r>
      <w:r w:rsidRPr="00CA5B45">
        <w:rPr>
          <w:rFonts w:cstheme="minorHAnsi"/>
          <w:color w:val="58595B"/>
          <w:sz w:val="20"/>
          <w:szCs w:val="20"/>
        </w:rPr>
        <w:t xml:space="preserve"> quintiles, which suggests we can expect a 10-year annualized return somewhere between 5% and 8%.</w:t>
      </w:r>
    </w:p>
    <w:p w14:paraId="730DBDAD" w14:textId="77777777" w:rsidR="00CA5B45" w:rsidRPr="00CA5B45" w:rsidRDefault="00CA5B45" w:rsidP="00C1396E">
      <w:pPr>
        <w:rPr>
          <w:rFonts w:cstheme="minorHAnsi"/>
          <w:color w:val="58595B"/>
          <w:sz w:val="20"/>
          <w:szCs w:val="20"/>
        </w:rPr>
      </w:pPr>
    </w:p>
    <w:p w14:paraId="71329765" w14:textId="46192382" w:rsidR="00CA5B45" w:rsidRPr="00CA5B45" w:rsidRDefault="00CA5B45" w:rsidP="00C1396E">
      <w:pPr>
        <w:rPr>
          <w:rFonts w:cstheme="minorHAnsi"/>
          <w:color w:val="58595B"/>
          <w:sz w:val="20"/>
          <w:szCs w:val="20"/>
        </w:rPr>
      </w:pPr>
      <w:r w:rsidRPr="00CA5B45">
        <w:rPr>
          <w:rFonts w:cstheme="minorHAnsi"/>
          <w:color w:val="58595B"/>
          <w:sz w:val="20"/>
          <w:szCs w:val="20"/>
        </w:rPr>
        <w:t>An 8% 10-year annualized return is not bad. You double your money in 9 years. A 5% 10-year return is not so good</w:t>
      </w:r>
      <w:r w:rsidR="00116AF0">
        <w:rPr>
          <w:rFonts w:cstheme="minorHAnsi"/>
          <w:color w:val="58595B"/>
          <w:sz w:val="20"/>
          <w:szCs w:val="20"/>
        </w:rPr>
        <w:t>,</w:t>
      </w:r>
      <w:r w:rsidRPr="00CA5B45">
        <w:rPr>
          <w:rFonts w:cstheme="minorHAnsi"/>
          <w:color w:val="58595B"/>
          <w:sz w:val="20"/>
          <w:szCs w:val="20"/>
        </w:rPr>
        <w:t xml:space="preserve"> given the riskiness of stocks and the opportunities in bonds and alternatives. In this environment, a well-diversified, balanced portfolio can still serve you well, and with some modest adjustments, you may be able to improve your expected compensation for bearing risk.       </w:t>
      </w:r>
    </w:p>
    <w:p w14:paraId="3CE70024" w14:textId="77777777" w:rsidR="00CA5B45" w:rsidRPr="00CA5B45" w:rsidRDefault="00CA5B45" w:rsidP="00C1396E">
      <w:pPr>
        <w:rPr>
          <w:rFonts w:cstheme="minorHAnsi"/>
          <w:color w:val="58595B"/>
          <w:sz w:val="20"/>
          <w:szCs w:val="20"/>
        </w:rPr>
      </w:pPr>
    </w:p>
    <w:p w14:paraId="04FD4810" w14:textId="4D740506" w:rsidR="00CA5B45" w:rsidRPr="00CA5B45" w:rsidRDefault="00CA5B45" w:rsidP="00C1396E">
      <w:pPr>
        <w:rPr>
          <w:rFonts w:cstheme="minorHAnsi"/>
          <w:color w:val="58595B"/>
          <w:sz w:val="20"/>
          <w:szCs w:val="20"/>
          <w:u w:val="single"/>
        </w:rPr>
      </w:pPr>
      <w:r w:rsidRPr="00CA5B45">
        <w:rPr>
          <w:rFonts w:cstheme="minorHAnsi"/>
          <w:color w:val="58595B"/>
          <w:sz w:val="20"/>
          <w:szCs w:val="20"/>
        </w:rPr>
        <w:t>If you would like to discuss your portfolio</w:t>
      </w:r>
      <w:r w:rsidR="00116AF0">
        <w:rPr>
          <w:rFonts w:cstheme="minorHAnsi"/>
          <w:color w:val="58595B"/>
          <w:sz w:val="20"/>
          <w:szCs w:val="20"/>
        </w:rPr>
        <w:t>,</w:t>
      </w:r>
      <w:r w:rsidRPr="00CA5B45">
        <w:rPr>
          <w:rFonts w:cstheme="minorHAnsi"/>
          <w:color w:val="58595B"/>
          <w:sz w:val="20"/>
          <w:szCs w:val="20"/>
        </w:rPr>
        <w:t xml:space="preserve"> given current valuation levels and the impact on your ability to achieve your long-term goals, please reach out to me. </w:t>
      </w:r>
    </w:p>
    <w:p w14:paraId="03C23F45" w14:textId="77777777" w:rsidR="00CA5B45" w:rsidRDefault="00CA5B45" w:rsidP="00C1396E">
      <w:pPr>
        <w:rPr>
          <w:rFonts w:cstheme="minorHAnsi"/>
          <w:color w:val="58595B"/>
          <w:u w:val="single"/>
        </w:rPr>
      </w:pPr>
    </w:p>
    <w:p w14:paraId="140E0894" w14:textId="77777777" w:rsidR="00AD2C52" w:rsidRDefault="00AD2C52" w:rsidP="00C1396E">
      <w:pPr>
        <w:rPr>
          <w:rFonts w:cstheme="minorHAnsi"/>
          <w:color w:val="58595B"/>
          <w:u w:val="single"/>
        </w:rPr>
      </w:pPr>
    </w:p>
    <w:p w14:paraId="3AA64F13" w14:textId="77777777" w:rsidR="00AD2C52" w:rsidRPr="00CA5B45" w:rsidRDefault="00AD2C52" w:rsidP="00C1396E">
      <w:pPr>
        <w:rPr>
          <w:rFonts w:cstheme="minorHAnsi"/>
          <w:color w:val="58595B"/>
          <w:u w:val="single"/>
        </w:rPr>
      </w:pPr>
    </w:p>
    <w:p w14:paraId="70EFC8E8" w14:textId="77777777" w:rsidR="00BD6897" w:rsidRPr="00101DBE" w:rsidRDefault="00BD6897" w:rsidP="00C1396E">
      <w:pPr>
        <w:rPr>
          <w:rFonts w:cstheme="minorHAnsi"/>
          <w:color w:val="58595B"/>
          <w:sz w:val="16"/>
          <w:szCs w:val="16"/>
        </w:rPr>
      </w:pPr>
    </w:p>
    <w:p w14:paraId="42FAB85D" w14:textId="77777777" w:rsidR="00BD6897" w:rsidRPr="00101DBE" w:rsidRDefault="00BD6897" w:rsidP="00C1396E">
      <w:pPr>
        <w:rPr>
          <w:rFonts w:cstheme="minorHAnsi"/>
          <w:color w:val="58595B"/>
          <w:sz w:val="16"/>
          <w:szCs w:val="16"/>
        </w:rPr>
      </w:pPr>
    </w:p>
    <w:p w14:paraId="3C01EC45" w14:textId="07DA1699" w:rsidR="006D7D2C" w:rsidRPr="00101DBE" w:rsidRDefault="006D7D2C" w:rsidP="00C1396E">
      <w:pPr>
        <w:rPr>
          <w:rFonts w:cstheme="minorHAnsi"/>
          <w:color w:val="58595B"/>
          <w:sz w:val="16"/>
          <w:szCs w:val="16"/>
        </w:rPr>
      </w:pPr>
      <w:r w:rsidRPr="00101DBE">
        <w:rPr>
          <w:rFonts w:cstheme="minorHAnsi"/>
          <w:color w:val="58595B"/>
          <w:sz w:val="16"/>
          <w:szCs w:val="16"/>
        </w:rPr>
        <w:t>©202</w:t>
      </w:r>
      <w:r w:rsidR="00AD2C52">
        <w:rPr>
          <w:rFonts w:cstheme="minorHAnsi"/>
          <w:color w:val="58595B"/>
          <w:sz w:val="16"/>
          <w:szCs w:val="16"/>
        </w:rPr>
        <w:t>5</w:t>
      </w:r>
      <w:r w:rsidRPr="00101DBE">
        <w:rPr>
          <w:rFonts w:cstheme="minorHAnsi"/>
          <w:color w:val="58595B"/>
          <w:sz w:val="16"/>
          <w:szCs w:val="16"/>
        </w:rPr>
        <w:t xml:space="preserve"> Wealthcare Capital Management LLC (</w:t>
      </w:r>
      <w:r w:rsidR="00631CEA" w:rsidRPr="00101DBE">
        <w:rPr>
          <w:rFonts w:cstheme="minorHAnsi"/>
          <w:color w:val="58595B"/>
          <w:sz w:val="16"/>
          <w:szCs w:val="16"/>
        </w:rPr>
        <w:t>"</w:t>
      </w:r>
      <w:r w:rsidRPr="00101DBE">
        <w:rPr>
          <w:rFonts w:cstheme="minorHAnsi"/>
          <w:color w:val="58595B"/>
          <w:sz w:val="16"/>
          <w:szCs w:val="16"/>
        </w:rPr>
        <w:t>Wealthcare</w:t>
      </w:r>
      <w:r w:rsidR="00631CEA" w:rsidRPr="00101DBE">
        <w:rPr>
          <w:rFonts w:cstheme="minorHAnsi"/>
          <w:color w:val="58595B"/>
          <w:sz w:val="16"/>
          <w:szCs w:val="16"/>
        </w:rPr>
        <w:t>"</w:t>
      </w:r>
      <w:r w:rsidRPr="00101DBE">
        <w:rPr>
          <w:rFonts w:cstheme="minorHAnsi"/>
          <w:color w:val="58595B"/>
          <w:sz w:val="16"/>
          <w:szCs w:val="16"/>
        </w:rPr>
        <w:t xml:space="preserve">) is a registered investment advisor with the U.S. Securities and Exchange Commission (SEC) under the Investment Advisors Act of 1940. All Rights Reserved. </w:t>
      </w:r>
    </w:p>
    <w:p w14:paraId="5BC0787E" w14:textId="77777777" w:rsidR="009521DC" w:rsidRPr="00101DBE" w:rsidRDefault="009521DC" w:rsidP="00C1396E">
      <w:pPr>
        <w:rPr>
          <w:rFonts w:cstheme="minorHAnsi"/>
          <w:color w:val="58595B"/>
          <w:sz w:val="16"/>
          <w:szCs w:val="16"/>
        </w:rPr>
      </w:pPr>
    </w:p>
    <w:p w14:paraId="30D1E869" w14:textId="77777777" w:rsidR="006D7D2C" w:rsidRPr="00101DBE" w:rsidRDefault="006D7D2C" w:rsidP="00C1396E">
      <w:pPr>
        <w:rPr>
          <w:rFonts w:cstheme="minorHAnsi"/>
          <w:color w:val="58595B"/>
          <w:sz w:val="16"/>
          <w:szCs w:val="16"/>
        </w:rPr>
      </w:pPr>
      <w:r w:rsidRPr="00101DBE">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7FCDD9B6" w14:textId="77777777" w:rsidR="006D7D2C" w:rsidRPr="00101DBE" w:rsidRDefault="006D7D2C" w:rsidP="00C1396E">
      <w:pPr>
        <w:rPr>
          <w:color w:val="58595B"/>
        </w:rPr>
      </w:pPr>
      <w:r w:rsidRPr="00101DBE">
        <w:rPr>
          <w:rFonts w:ascii="Calibri" w:eastAsia="Calibri" w:hAnsi="Calibri" w:cs="Calibri"/>
          <w:noProof/>
          <w:color w:val="58595B"/>
          <w:sz w:val="20"/>
          <w:szCs w:val="20"/>
        </w:rPr>
        <w:drawing>
          <wp:anchor distT="0" distB="0" distL="114300" distR="114300" simplePos="0" relativeHeight="251656704" behindDoc="0" locked="0" layoutInCell="1" allowOverlap="1" wp14:anchorId="1FC6F1D7" wp14:editId="2E38846C">
            <wp:simplePos x="0" y="0"/>
            <wp:positionH relativeFrom="column">
              <wp:posOffset>2218690</wp:posOffset>
            </wp:positionH>
            <wp:positionV relativeFrom="paragraph">
              <wp:posOffset>735965</wp:posOffset>
            </wp:positionV>
            <wp:extent cx="2290445" cy="838835"/>
            <wp:effectExtent l="0" t="0" r="0" b="0"/>
            <wp:wrapTopAndBottom/>
            <wp:docPr id="6" name="image1.png"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Text,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90445" cy="838835"/>
                    </a:xfrm>
                    <a:prstGeom prst="rect">
                      <a:avLst/>
                    </a:prstGeom>
                  </pic:spPr>
                </pic:pic>
              </a:graphicData>
            </a:graphic>
          </wp:anchor>
        </w:drawing>
      </w:r>
      <w:r w:rsidRPr="00101DBE">
        <w:rPr>
          <w:rFonts w:cstheme="minorHAnsi"/>
          <w:color w:val="58595B"/>
          <w:sz w:val="16"/>
          <w:szCs w:val="16"/>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Information contained herein is at a point in time and subject to change without notice. Information is derived from sources which are believed to be </w:t>
      </w:r>
      <w:proofErr w:type="gramStart"/>
      <w:r w:rsidRPr="00101DBE">
        <w:rPr>
          <w:rFonts w:cstheme="minorHAnsi"/>
          <w:color w:val="58595B"/>
          <w:sz w:val="16"/>
          <w:szCs w:val="16"/>
        </w:rPr>
        <w:t>reliable, but</w:t>
      </w:r>
      <w:proofErr w:type="gramEnd"/>
      <w:r w:rsidRPr="00101DBE">
        <w:rPr>
          <w:rFonts w:cstheme="minorHAnsi"/>
          <w:color w:val="58595B"/>
          <w:sz w:val="16"/>
          <w:szCs w:val="16"/>
        </w:rPr>
        <w:t xml:space="preserve"> are not independently audited. Wealthcare cannot guarantee any specific financial return results for any client. Past performance is not a guide to future returns.</w:t>
      </w:r>
    </w:p>
    <w:p w14:paraId="17260598" w14:textId="77777777" w:rsidR="006D7D2C" w:rsidRPr="00101DBE" w:rsidRDefault="006D7D2C" w:rsidP="00C1396E">
      <w:pPr>
        <w:pStyle w:val="Footer"/>
        <w:rPr>
          <w:color w:val="58595B"/>
        </w:rPr>
      </w:pPr>
    </w:p>
    <w:p w14:paraId="48FE71D9" w14:textId="77777777" w:rsidR="00BD6897" w:rsidRPr="00101DBE" w:rsidRDefault="00BD6897" w:rsidP="00C1396E">
      <w:pPr>
        <w:pStyle w:val="BodyText"/>
        <w:ind w:left="0" w:right="2"/>
        <w:jc w:val="center"/>
        <w:rPr>
          <w:rFonts w:asciiTheme="minorHAnsi" w:hAnsiTheme="minorHAnsi"/>
          <w:color w:val="58595B"/>
          <w:sz w:val="24"/>
        </w:rPr>
      </w:pPr>
    </w:p>
    <w:p w14:paraId="28B1500B" w14:textId="267A9DA4" w:rsidR="006D7D2C" w:rsidRPr="00101DBE" w:rsidRDefault="006D7D2C" w:rsidP="00C1396E">
      <w:pPr>
        <w:pStyle w:val="BodyText"/>
        <w:ind w:left="0" w:right="2"/>
        <w:jc w:val="center"/>
        <w:rPr>
          <w:rFonts w:asciiTheme="minorHAnsi" w:eastAsia="Proxima Nova Rg" w:hAnsiTheme="minorHAnsi" w:cs="Proxima Nova Rg"/>
          <w:color w:val="58595B"/>
          <w:sz w:val="24"/>
        </w:rPr>
      </w:pPr>
      <w:r w:rsidRPr="00101DBE">
        <w:rPr>
          <w:rFonts w:asciiTheme="minorHAnsi" w:hAnsiTheme="minorHAnsi"/>
          <w:color w:val="58595B"/>
          <w:sz w:val="24"/>
        </w:rPr>
        <w:t xml:space="preserve">Two James Center 1021, East Cary Street, Suite 702 | </w:t>
      </w:r>
      <w:r w:rsidRPr="00101DBE">
        <w:rPr>
          <w:rFonts w:asciiTheme="minorHAnsi" w:hAnsiTheme="minorHAnsi"/>
          <w:color w:val="58595B"/>
          <w:spacing w:val="-1"/>
          <w:sz w:val="24"/>
        </w:rPr>
        <w:t>RICHMOND,</w:t>
      </w:r>
      <w:r w:rsidRPr="00101DBE">
        <w:rPr>
          <w:rFonts w:asciiTheme="minorHAnsi" w:hAnsiTheme="minorHAnsi"/>
          <w:color w:val="58595B"/>
          <w:sz w:val="24"/>
        </w:rPr>
        <w:t xml:space="preserve"> </w:t>
      </w:r>
      <w:r w:rsidRPr="00101DBE">
        <w:rPr>
          <w:rFonts w:asciiTheme="minorHAnsi" w:hAnsiTheme="minorHAnsi"/>
          <w:color w:val="58595B"/>
          <w:spacing w:val="-6"/>
          <w:sz w:val="24"/>
        </w:rPr>
        <w:t>VA</w:t>
      </w:r>
      <w:r w:rsidRPr="00101DBE">
        <w:rPr>
          <w:rFonts w:asciiTheme="minorHAnsi" w:hAnsiTheme="minorHAnsi"/>
          <w:color w:val="58595B"/>
          <w:sz w:val="24"/>
        </w:rPr>
        <w:t xml:space="preserve"> 23219 | </w:t>
      </w:r>
      <w:r w:rsidRPr="00101DBE">
        <w:rPr>
          <w:rFonts w:asciiTheme="minorHAnsi" w:hAnsiTheme="minorHAnsi"/>
          <w:color w:val="58595B"/>
          <w:spacing w:val="-1"/>
          <w:sz w:val="24"/>
        </w:rPr>
        <w:t>804.644.4711</w:t>
      </w:r>
    </w:p>
    <w:p w14:paraId="355875D6" w14:textId="77777777" w:rsidR="006D7D2C" w:rsidRPr="00101DBE" w:rsidRDefault="006D7D2C" w:rsidP="00C1396E">
      <w:pPr>
        <w:jc w:val="center"/>
        <w:rPr>
          <w:rFonts w:ascii="Proxima Nova Rg" w:eastAsia="Proxima Nova Rg" w:hAnsi="Proxima Nova Rg" w:cs="Proxima Nova Rg"/>
          <w:color w:val="58595B"/>
          <w:sz w:val="20"/>
          <w:szCs w:val="20"/>
        </w:rPr>
      </w:pPr>
    </w:p>
    <w:p w14:paraId="3118D16B" w14:textId="057BEFEB" w:rsidR="00B07EDC" w:rsidRPr="00101DBE" w:rsidRDefault="00B07EDC" w:rsidP="00C1396E">
      <w:pPr>
        <w:tabs>
          <w:tab w:val="left" w:pos="3000"/>
        </w:tabs>
        <w:jc w:val="center"/>
        <w:rPr>
          <w:rStyle w:val="normaltextrun"/>
          <w:rFonts w:eastAsia="Proxima Nova Rg" w:cs="Proxima Nova Rg"/>
          <w:caps/>
          <w:color w:val="58595B"/>
          <w:sz w:val="24"/>
          <w:szCs w:val="16"/>
        </w:rPr>
      </w:pPr>
      <w:r w:rsidRPr="00101DBE">
        <w:rPr>
          <w:rFonts w:eastAsia="Proxima Nova Rg" w:cs="Proxima Nova Rg"/>
          <w:caps/>
          <w:noProof/>
          <w:color w:val="58595B"/>
          <w:sz w:val="24"/>
          <w:szCs w:val="16"/>
        </w:rPr>
        <mc:AlternateContent>
          <mc:Choice Requires="wps">
            <w:drawing>
              <wp:anchor distT="0" distB="0" distL="114300" distR="114300" simplePos="0" relativeHeight="251660800" behindDoc="0" locked="0" layoutInCell="1" allowOverlap="1" wp14:anchorId="7EAFB0BB" wp14:editId="4FCECC51">
                <wp:simplePos x="0" y="0"/>
                <wp:positionH relativeFrom="column">
                  <wp:posOffset>-95250</wp:posOffset>
                </wp:positionH>
                <wp:positionV relativeFrom="paragraph">
                  <wp:posOffset>265430</wp:posOffset>
                </wp:positionV>
                <wp:extent cx="2038350" cy="314325"/>
                <wp:effectExtent l="0" t="0" r="0" b="9525"/>
                <wp:wrapNone/>
                <wp:docPr id="1217879421" name="Rectangle 1"/>
                <wp:cNvGraphicFramePr/>
                <a:graphic xmlns:a="http://schemas.openxmlformats.org/drawingml/2006/main">
                  <a:graphicData uri="http://schemas.microsoft.com/office/word/2010/wordprocessingShape">
                    <wps:wsp>
                      <wps:cNvSpPr/>
                      <wps:spPr>
                        <a:xfrm>
                          <a:off x="0" y="0"/>
                          <a:ext cx="2038350" cy="314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E0826" id="Rectangle 1" o:spid="_x0000_s1026" style="position:absolute;margin-left:-7.5pt;margin-top:20.9pt;width:160.5pt;height:24.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" fillcolor="white [3212]" stroked="f" strokeweight="2pt"/>
            </w:pict>
          </mc:Fallback>
        </mc:AlternateContent>
      </w:r>
      <w:r w:rsidR="006D7D2C" w:rsidRPr="00101DBE">
        <w:rPr>
          <w:rFonts w:eastAsia="Proxima Nova Rg" w:cs="Proxima Nova Rg"/>
          <w:caps/>
          <w:color w:val="58595B"/>
          <w:sz w:val="24"/>
          <w:szCs w:val="16"/>
        </w:rPr>
        <w:t>Wealthcaregdx.com</w:t>
      </w:r>
    </w:p>
    <w:sectPr w:rsidR="00B07EDC" w:rsidRPr="00101DBE" w:rsidSect="00A4402B">
      <w:headerReference w:type="default" r:id="rId20"/>
      <w:footerReference w:type="default" r:id="rId21"/>
      <w:type w:val="continuous"/>
      <w:pgSz w:w="12240" w:h="15840"/>
      <w:pgMar w:top="1354" w:right="900" w:bottom="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86F8" w14:textId="77777777" w:rsidR="00E11347" w:rsidRDefault="00E11347">
      <w:r>
        <w:separator/>
      </w:r>
    </w:p>
  </w:endnote>
  <w:endnote w:type="continuationSeparator" w:id="0">
    <w:p w14:paraId="79A0745B" w14:textId="77777777" w:rsidR="00E11347" w:rsidRDefault="00E1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B481" w14:textId="77777777" w:rsidR="0086174A" w:rsidRDefault="0086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852D" w14:textId="77777777" w:rsidR="0086174A" w:rsidRDefault="0086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5CDA" w14:textId="77777777" w:rsidR="0086174A" w:rsidRDefault="00861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9A" w14:textId="77777777" w:rsidR="009A26BC" w:rsidRPr="0086174A" w:rsidRDefault="009A26BC" w:rsidP="0086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2B01" w14:textId="77777777" w:rsidR="00E11347" w:rsidRDefault="00E11347">
      <w:r>
        <w:separator/>
      </w:r>
    </w:p>
  </w:footnote>
  <w:footnote w:type="continuationSeparator" w:id="0">
    <w:p w14:paraId="79A89461" w14:textId="77777777" w:rsidR="00E11347" w:rsidRDefault="00E1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6AF6" w14:textId="77777777" w:rsidR="0086174A" w:rsidRDefault="0086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79D3" w14:textId="77777777" w:rsidR="0086174A" w:rsidRDefault="0086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ED6E" w14:textId="77777777" w:rsidR="0086174A" w:rsidRDefault="0086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E285" w14:textId="77777777" w:rsidR="009A26BC" w:rsidRDefault="009A26B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A6F47"/>
    <w:multiLevelType w:val="hybridMultilevel"/>
    <w:tmpl w:val="A24A8338"/>
    <w:lvl w:ilvl="0" w:tplc="1D04AA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788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tDQ1N7a0NDEysjBW0lEKTi0uzszPAykwNKsFAPGIHTwtAAAA"/>
  </w:docVars>
  <w:rsids>
    <w:rsidRoot w:val="00310271"/>
    <w:rsid w:val="00002266"/>
    <w:rsid w:val="00004887"/>
    <w:rsid w:val="000125BB"/>
    <w:rsid w:val="00013B1B"/>
    <w:rsid w:val="000156A7"/>
    <w:rsid w:val="00017F7D"/>
    <w:rsid w:val="000201E5"/>
    <w:rsid w:val="000210BE"/>
    <w:rsid w:val="000228E9"/>
    <w:rsid w:val="00022D0D"/>
    <w:rsid w:val="00025038"/>
    <w:rsid w:val="00025049"/>
    <w:rsid w:val="000259D6"/>
    <w:rsid w:val="00026505"/>
    <w:rsid w:val="00027714"/>
    <w:rsid w:val="0003050E"/>
    <w:rsid w:val="00031F46"/>
    <w:rsid w:val="0003611C"/>
    <w:rsid w:val="00036AAF"/>
    <w:rsid w:val="00036CA5"/>
    <w:rsid w:val="000412A6"/>
    <w:rsid w:val="00042E77"/>
    <w:rsid w:val="00044CF3"/>
    <w:rsid w:val="00045B02"/>
    <w:rsid w:val="00052A7A"/>
    <w:rsid w:val="00056FDB"/>
    <w:rsid w:val="0006031A"/>
    <w:rsid w:val="00060559"/>
    <w:rsid w:val="00060EEE"/>
    <w:rsid w:val="0006178C"/>
    <w:rsid w:val="00062421"/>
    <w:rsid w:val="000719FE"/>
    <w:rsid w:val="00072CE9"/>
    <w:rsid w:val="000734A3"/>
    <w:rsid w:val="00074879"/>
    <w:rsid w:val="000762FC"/>
    <w:rsid w:val="0007762A"/>
    <w:rsid w:val="000800F9"/>
    <w:rsid w:val="00081453"/>
    <w:rsid w:val="00084C22"/>
    <w:rsid w:val="00086FA3"/>
    <w:rsid w:val="000923FA"/>
    <w:rsid w:val="000935BA"/>
    <w:rsid w:val="00093DF5"/>
    <w:rsid w:val="00094A82"/>
    <w:rsid w:val="00094D10"/>
    <w:rsid w:val="0009664C"/>
    <w:rsid w:val="0009674A"/>
    <w:rsid w:val="00096FAD"/>
    <w:rsid w:val="000A0BBE"/>
    <w:rsid w:val="000A1B7E"/>
    <w:rsid w:val="000A1E6F"/>
    <w:rsid w:val="000A301B"/>
    <w:rsid w:val="000A77AA"/>
    <w:rsid w:val="000B097C"/>
    <w:rsid w:val="000B1F1D"/>
    <w:rsid w:val="000B33F0"/>
    <w:rsid w:val="000B480D"/>
    <w:rsid w:val="000C2111"/>
    <w:rsid w:val="000C7EEE"/>
    <w:rsid w:val="000D0CAB"/>
    <w:rsid w:val="000D15E8"/>
    <w:rsid w:val="000D6CA3"/>
    <w:rsid w:val="000E31FF"/>
    <w:rsid w:val="000E6D97"/>
    <w:rsid w:val="000E7185"/>
    <w:rsid w:val="000F2C94"/>
    <w:rsid w:val="000F368D"/>
    <w:rsid w:val="00100F10"/>
    <w:rsid w:val="00101DBE"/>
    <w:rsid w:val="00103C96"/>
    <w:rsid w:val="00104161"/>
    <w:rsid w:val="00116AF0"/>
    <w:rsid w:val="001177D9"/>
    <w:rsid w:val="00117FE0"/>
    <w:rsid w:val="001220F1"/>
    <w:rsid w:val="001239DF"/>
    <w:rsid w:val="00123D97"/>
    <w:rsid w:val="00126239"/>
    <w:rsid w:val="001265D3"/>
    <w:rsid w:val="0013194F"/>
    <w:rsid w:val="00132877"/>
    <w:rsid w:val="001358E4"/>
    <w:rsid w:val="001362FA"/>
    <w:rsid w:val="001412B4"/>
    <w:rsid w:val="001417C0"/>
    <w:rsid w:val="00144645"/>
    <w:rsid w:val="00147B3C"/>
    <w:rsid w:val="00154F0D"/>
    <w:rsid w:val="00160CD0"/>
    <w:rsid w:val="00166839"/>
    <w:rsid w:val="00167572"/>
    <w:rsid w:val="001729C6"/>
    <w:rsid w:val="00172E3A"/>
    <w:rsid w:val="00174498"/>
    <w:rsid w:val="001801F8"/>
    <w:rsid w:val="0018355A"/>
    <w:rsid w:val="00184A91"/>
    <w:rsid w:val="00185E18"/>
    <w:rsid w:val="001A1C08"/>
    <w:rsid w:val="001A3C51"/>
    <w:rsid w:val="001A4DE9"/>
    <w:rsid w:val="001A6535"/>
    <w:rsid w:val="001A7DB0"/>
    <w:rsid w:val="001B031F"/>
    <w:rsid w:val="001B087D"/>
    <w:rsid w:val="001B1BCB"/>
    <w:rsid w:val="001B7740"/>
    <w:rsid w:val="001C2D38"/>
    <w:rsid w:val="001C3759"/>
    <w:rsid w:val="001C5AF5"/>
    <w:rsid w:val="001C6F54"/>
    <w:rsid w:val="001C7F47"/>
    <w:rsid w:val="001D1C50"/>
    <w:rsid w:val="001D359E"/>
    <w:rsid w:val="001E39CF"/>
    <w:rsid w:val="001F5C89"/>
    <w:rsid w:val="001F6B08"/>
    <w:rsid w:val="002008EC"/>
    <w:rsid w:val="00200F08"/>
    <w:rsid w:val="00202F3C"/>
    <w:rsid w:val="0020415C"/>
    <w:rsid w:val="00205CA9"/>
    <w:rsid w:val="00210B5E"/>
    <w:rsid w:val="00213777"/>
    <w:rsid w:val="00213C92"/>
    <w:rsid w:val="00214F39"/>
    <w:rsid w:val="002161F9"/>
    <w:rsid w:val="00216C14"/>
    <w:rsid w:val="00220124"/>
    <w:rsid w:val="00221B36"/>
    <w:rsid w:val="00222907"/>
    <w:rsid w:val="00226FFE"/>
    <w:rsid w:val="002276F5"/>
    <w:rsid w:val="00232548"/>
    <w:rsid w:val="002328D8"/>
    <w:rsid w:val="002335E3"/>
    <w:rsid w:val="002373DE"/>
    <w:rsid w:val="002379CD"/>
    <w:rsid w:val="0024403A"/>
    <w:rsid w:val="002456D2"/>
    <w:rsid w:val="00247C93"/>
    <w:rsid w:val="00250C3F"/>
    <w:rsid w:val="00253473"/>
    <w:rsid w:val="00254906"/>
    <w:rsid w:val="0025490D"/>
    <w:rsid w:val="00257683"/>
    <w:rsid w:val="00257DE6"/>
    <w:rsid w:val="002605D2"/>
    <w:rsid w:val="00260AAA"/>
    <w:rsid w:val="00267230"/>
    <w:rsid w:val="002726E8"/>
    <w:rsid w:val="00272770"/>
    <w:rsid w:val="0027354B"/>
    <w:rsid w:val="00274975"/>
    <w:rsid w:val="00276FBD"/>
    <w:rsid w:val="00281193"/>
    <w:rsid w:val="00286460"/>
    <w:rsid w:val="00287554"/>
    <w:rsid w:val="00287EAB"/>
    <w:rsid w:val="00291D0D"/>
    <w:rsid w:val="002932EA"/>
    <w:rsid w:val="00295497"/>
    <w:rsid w:val="002A0B8E"/>
    <w:rsid w:val="002A2EAD"/>
    <w:rsid w:val="002B07E7"/>
    <w:rsid w:val="002B0B5C"/>
    <w:rsid w:val="002B630C"/>
    <w:rsid w:val="002B7B45"/>
    <w:rsid w:val="002C122F"/>
    <w:rsid w:val="002C2A5C"/>
    <w:rsid w:val="002C648F"/>
    <w:rsid w:val="002C6572"/>
    <w:rsid w:val="002C73AD"/>
    <w:rsid w:val="002E32E8"/>
    <w:rsid w:val="002F33BD"/>
    <w:rsid w:val="002F4672"/>
    <w:rsid w:val="002F76FF"/>
    <w:rsid w:val="00301A6F"/>
    <w:rsid w:val="003044A4"/>
    <w:rsid w:val="003047D1"/>
    <w:rsid w:val="003068FF"/>
    <w:rsid w:val="00310271"/>
    <w:rsid w:val="0031043D"/>
    <w:rsid w:val="00311800"/>
    <w:rsid w:val="003167D8"/>
    <w:rsid w:val="0031686F"/>
    <w:rsid w:val="0032012C"/>
    <w:rsid w:val="003216F1"/>
    <w:rsid w:val="003247DE"/>
    <w:rsid w:val="00324CB1"/>
    <w:rsid w:val="0032586A"/>
    <w:rsid w:val="00327D1E"/>
    <w:rsid w:val="00330FCA"/>
    <w:rsid w:val="003311F6"/>
    <w:rsid w:val="003313DE"/>
    <w:rsid w:val="00333C90"/>
    <w:rsid w:val="00334DCF"/>
    <w:rsid w:val="00334F76"/>
    <w:rsid w:val="00335B49"/>
    <w:rsid w:val="003360FD"/>
    <w:rsid w:val="00336C70"/>
    <w:rsid w:val="00336E3D"/>
    <w:rsid w:val="00353EA1"/>
    <w:rsid w:val="003540E0"/>
    <w:rsid w:val="00357A58"/>
    <w:rsid w:val="00370C73"/>
    <w:rsid w:val="0037181F"/>
    <w:rsid w:val="003737D4"/>
    <w:rsid w:val="00374065"/>
    <w:rsid w:val="00374837"/>
    <w:rsid w:val="0038183B"/>
    <w:rsid w:val="003824E7"/>
    <w:rsid w:val="00383F28"/>
    <w:rsid w:val="0038753A"/>
    <w:rsid w:val="00393C58"/>
    <w:rsid w:val="0039447A"/>
    <w:rsid w:val="00396616"/>
    <w:rsid w:val="003A021A"/>
    <w:rsid w:val="003A3BA0"/>
    <w:rsid w:val="003A4F4A"/>
    <w:rsid w:val="003B2E1A"/>
    <w:rsid w:val="003B5714"/>
    <w:rsid w:val="003B6D62"/>
    <w:rsid w:val="003B727B"/>
    <w:rsid w:val="003C603D"/>
    <w:rsid w:val="003C70C1"/>
    <w:rsid w:val="003D001D"/>
    <w:rsid w:val="003D3100"/>
    <w:rsid w:val="003D511B"/>
    <w:rsid w:val="003D5ADF"/>
    <w:rsid w:val="003E096C"/>
    <w:rsid w:val="003E14D1"/>
    <w:rsid w:val="003E1945"/>
    <w:rsid w:val="003E1A17"/>
    <w:rsid w:val="003E24C1"/>
    <w:rsid w:val="003E2D45"/>
    <w:rsid w:val="003E7FAF"/>
    <w:rsid w:val="003F2A3D"/>
    <w:rsid w:val="003F2D44"/>
    <w:rsid w:val="003F5104"/>
    <w:rsid w:val="00401649"/>
    <w:rsid w:val="00401C24"/>
    <w:rsid w:val="00402082"/>
    <w:rsid w:val="00405124"/>
    <w:rsid w:val="004070BE"/>
    <w:rsid w:val="004134AA"/>
    <w:rsid w:val="00416A96"/>
    <w:rsid w:val="004171D4"/>
    <w:rsid w:val="00417999"/>
    <w:rsid w:val="004220CB"/>
    <w:rsid w:val="00437B8C"/>
    <w:rsid w:val="004455EC"/>
    <w:rsid w:val="00445DE2"/>
    <w:rsid w:val="004503C3"/>
    <w:rsid w:val="00450988"/>
    <w:rsid w:val="0045136D"/>
    <w:rsid w:val="00452819"/>
    <w:rsid w:val="00457719"/>
    <w:rsid w:val="00460438"/>
    <w:rsid w:val="004713BA"/>
    <w:rsid w:val="00471713"/>
    <w:rsid w:val="00472988"/>
    <w:rsid w:val="00473959"/>
    <w:rsid w:val="00475671"/>
    <w:rsid w:val="00481A4F"/>
    <w:rsid w:val="00485B84"/>
    <w:rsid w:val="0048612C"/>
    <w:rsid w:val="00490281"/>
    <w:rsid w:val="00490772"/>
    <w:rsid w:val="00493B57"/>
    <w:rsid w:val="00494222"/>
    <w:rsid w:val="00494E1B"/>
    <w:rsid w:val="00495AFE"/>
    <w:rsid w:val="004A04FD"/>
    <w:rsid w:val="004B11F0"/>
    <w:rsid w:val="004B2F7E"/>
    <w:rsid w:val="004B3CB0"/>
    <w:rsid w:val="004B7F15"/>
    <w:rsid w:val="004C0192"/>
    <w:rsid w:val="004C1D7F"/>
    <w:rsid w:val="004C2220"/>
    <w:rsid w:val="004C22E7"/>
    <w:rsid w:val="004C2EBE"/>
    <w:rsid w:val="004C74A9"/>
    <w:rsid w:val="004D528B"/>
    <w:rsid w:val="004E2DF5"/>
    <w:rsid w:val="004E338D"/>
    <w:rsid w:val="004E66C6"/>
    <w:rsid w:val="004E7DD1"/>
    <w:rsid w:val="004F1132"/>
    <w:rsid w:val="004F1B81"/>
    <w:rsid w:val="004F356C"/>
    <w:rsid w:val="004F4B63"/>
    <w:rsid w:val="004F5C4C"/>
    <w:rsid w:val="004F6634"/>
    <w:rsid w:val="005005A7"/>
    <w:rsid w:val="00500895"/>
    <w:rsid w:val="00507E83"/>
    <w:rsid w:val="00512309"/>
    <w:rsid w:val="005163FC"/>
    <w:rsid w:val="005200A0"/>
    <w:rsid w:val="00521383"/>
    <w:rsid w:val="00527915"/>
    <w:rsid w:val="005310F2"/>
    <w:rsid w:val="00531EA3"/>
    <w:rsid w:val="005369FB"/>
    <w:rsid w:val="005374F8"/>
    <w:rsid w:val="0054156B"/>
    <w:rsid w:val="00541B1B"/>
    <w:rsid w:val="00542695"/>
    <w:rsid w:val="0054795D"/>
    <w:rsid w:val="00550998"/>
    <w:rsid w:val="005519F3"/>
    <w:rsid w:val="005537A6"/>
    <w:rsid w:val="0056048B"/>
    <w:rsid w:val="00562574"/>
    <w:rsid w:val="00584BAA"/>
    <w:rsid w:val="005856CE"/>
    <w:rsid w:val="005905C5"/>
    <w:rsid w:val="0059262F"/>
    <w:rsid w:val="005B2737"/>
    <w:rsid w:val="005B2B32"/>
    <w:rsid w:val="005B5A2E"/>
    <w:rsid w:val="005B6389"/>
    <w:rsid w:val="005B66EA"/>
    <w:rsid w:val="005C0ED1"/>
    <w:rsid w:val="005C2C86"/>
    <w:rsid w:val="005C33A3"/>
    <w:rsid w:val="005D1997"/>
    <w:rsid w:val="005D2FD8"/>
    <w:rsid w:val="005D3039"/>
    <w:rsid w:val="005D5D48"/>
    <w:rsid w:val="005D606A"/>
    <w:rsid w:val="005E1C93"/>
    <w:rsid w:val="005E2E0D"/>
    <w:rsid w:val="005F1D20"/>
    <w:rsid w:val="005F3547"/>
    <w:rsid w:val="005F4495"/>
    <w:rsid w:val="005F50AB"/>
    <w:rsid w:val="005F5E0B"/>
    <w:rsid w:val="006017C4"/>
    <w:rsid w:val="006047E9"/>
    <w:rsid w:val="0060784E"/>
    <w:rsid w:val="006100D9"/>
    <w:rsid w:val="00611019"/>
    <w:rsid w:val="00611C61"/>
    <w:rsid w:val="00612B4F"/>
    <w:rsid w:val="00614B2E"/>
    <w:rsid w:val="00615328"/>
    <w:rsid w:val="00615893"/>
    <w:rsid w:val="00617DC0"/>
    <w:rsid w:val="0063006B"/>
    <w:rsid w:val="0063157A"/>
    <w:rsid w:val="00631CEA"/>
    <w:rsid w:val="00637823"/>
    <w:rsid w:val="00640711"/>
    <w:rsid w:val="00652AF4"/>
    <w:rsid w:val="0065534E"/>
    <w:rsid w:val="006573A0"/>
    <w:rsid w:val="0066359F"/>
    <w:rsid w:val="006666C1"/>
    <w:rsid w:val="00675170"/>
    <w:rsid w:val="0068176C"/>
    <w:rsid w:val="0068201F"/>
    <w:rsid w:val="006820BA"/>
    <w:rsid w:val="00683D46"/>
    <w:rsid w:val="006843F4"/>
    <w:rsid w:val="00685226"/>
    <w:rsid w:val="00686641"/>
    <w:rsid w:val="006867D7"/>
    <w:rsid w:val="00686FE0"/>
    <w:rsid w:val="00687B22"/>
    <w:rsid w:val="00692995"/>
    <w:rsid w:val="006A267B"/>
    <w:rsid w:val="006A32B1"/>
    <w:rsid w:val="006B230C"/>
    <w:rsid w:val="006B5449"/>
    <w:rsid w:val="006B76C3"/>
    <w:rsid w:val="006C15DE"/>
    <w:rsid w:val="006C7077"/>
    <w:rsid w:val="006C7B10"/>
    <w:rsid w:val="006D3705"/>
    <w:rsid w:val="006D7D2C"/>
    <w:rsid w:val="006E0947"/>
    <w:rsid w:val="006E1C96"/>
    <w:rsid w:val="006E5CA8"/>
    <w:rsid w:val="006E78D3"/>
    <w:rsid w:val="006F0FE8"/>
    <w:rsid w:val="006F3418"/>
    <w:rsid w:val="006F73F3"/>
    <w:rsid w:val="006F7C9C"/>
    <w:rsid w:val="00701982"/>
    <w:rsid w:val="0070293F"/>
    <w:rsid w:val="007042D9"/>
    <w:rsid w:val="00706ABD"/>
    <w:rsid w:val="00707DCA"/>
    <w:rsid w:val="00711062"/>
    <w:rsid w:val="007134F0"/>
    <w:rsid w:val="00714F5F"/>
    <w:rsid w:val="007178A5"/>
    <w:rsid w:val="00721BDF"/>
    <w:rsid w:val="0072246A"/>
    <w:rsid w:val="00724507"/>
    <w:rsid w:val="007277EC"/>
    <w:rsid w:val="00730139"/>
    <w:rsid w:val="00732020"/>
    <w:rsid w:val="007320A6"/>
    <w:rsid w:val="00735345"/>
    <w:rsid w:val="007379F6"/>
    <w:rsid w:val="00741AFE"/>
    <w:rsid w:val="00741DD7"/>
    <w:rsid w:val="00743185"/>
    <w:rsid w:val="007516F7"/>
    <w:rsid w:val="00755010"/>
    <w:rsid w:val="00760C1F"/>
    <w:rsid w:val="00763D1A"/>
    <w:rsid w:val="00763EF4"/>
    <w:rsid w:val="007658E3"/>
    <w:rsid w:val="00770A97"/>
    <w:rsid w:val="007744EE"/>
    <w:rsid w:val="00774C84"/>
    <w:rsid w:val="007759E5"/>
    <w:rsid w:val="00776906"/>
    <w:rsid w:val="00783B92"/>
    <w:rsid w:val="00785101"/>
    <w:rsid w:val="00787D88"/>
    <w:rsid w:val="007924FF"/>
    <w:rsid w:val="007927C9"/>
    <w:rsid w:val="00792ED4"/>
    <w:rsid w:val="00794F15"/>
    <w:rsid w:val="007A03FA"/>
    <w:rsid w:val="007A06C1"/>
    <w:rsid w:val="007A1EB4"/>
    <w:rsid w:val="007A3108"/>
    <w:rsid w:val="007A3F77"/>
    <w:rsid w:val="007A52F8"/>
    <w:rsid w:val="007A6DBD"/>
    <w:rsid w:val="007A7A65"/>
    <w:rsid w:val="007B4A6A"/>
    <w:rsid w:val="007B7DB3"/>
    <w:rsid w:val="007C15ED"/>
    <w:rsid w:val="007C7524"/>
    <w:rsid w:val="007D039A"/>
    <w:rsid w:val="007D1705"/>
    <w:rsid w:val="007D3185"/>
    <w:rsid w:val="007E3B81"/>
    <w:rsid w:val="007E4C39"/>
    <w:rsid w:val="007E4CA7"/>
    <w:rsid w:val="007F4DFB"/>
    <w:rsid w:val="007F5779"/>
    <w:rsid w:val="007F57CF"/>
    <w:rsid w:val="007F7D4A"/>
    <w:rsid w:val="007F7E30"/>
    <w:rsid w:val="007F7EC5"/>
    <w:rsid w:val="007F7F1D"/>
    <w:rsid w:val="008005E0"/>
    <w:rsid w:val="00800E3B"/>
    <w:rsid w:val="00804960"/>
    <w:rsid w:val="008106EB"/>
    <w:rsid w:val="0081161F"/>
    <w:rsid w:val="00814E3F"/>
    <w:rsid w:val="00817EE1"/>
    <w:rsid w:val="00820126"/>
    <w:rsid w:val="00820771"/>
    <w:rsid w:val="00821073"/>
    <w:rsid w:val="00821825"/>
    <w:rsid w:val="008224CA"/>
    <w:rsid w:val="0082261D"/>
    <w:rsid w:val="008258A2"/>
    <w:rsid w:val="00826D64"/>
    <w:rsid w:val="00827E25"/>
    <w:rsid w:val="008303EF"/>
    <w:rsid w:val="00830675"/>
    <w:rsid w:val="0083356B"/>
    <w:rsid w:val="00834435"/>
    <w:rsid w:val="008363BC"/>
    <w:rsid w:val="00841060"/>
    <w:rsid w:val="00841195"/>
    <w:rsid w:val="00847492"/>
    <w:rsid w:val="00850438"/>
    <w:rsid w:val="00851F21"/>
    <w:rsid w:val="0085455B"/>
    <w:rsid w:val="00855B23"/>
    <w:rsid w:val="00857081"/>
    <w:rsid w:val="0086174A"/>
    <w:rsid w:val="00862B8F"/>
    <w:rsid w:val="00866231"/>
    <w:rsid w:val="00877495"/>
    <w:rsid w:val="00882020"/>
    <w:rsid w:val="00886CF6"/>
    <w:rsid w:val="00891314"/>
    <w:rsid w:val="00891CD6"/>
    <w:rsid w:val="00897691"/>
    <w:rsid w:val="008A2AD7"/>
    <w:rsid w:val="008A30B0"/>
    <w:rsid w:val="008A55C6"/>
    <w:rsid w:val="008A6216"/>
    <w:rsid w:val="008B20CD"/>
    <w:rsid w:val="008C17BA"/>
    <w:rsid w:val="008C1819"/>
    <w:rsid w:val="008C6E2F"/>
    <w:rsid w:val="008D0289"/>
    <w:rsid w:val="008D7070"/>
    <w:rsid w:val="008D79D3"/>
    <w:rsid w:val="008E6947"/>
    <w:rsid w:val="008F53FC"/>
    <w:rsid w:val="008F75BA"/>
    <w:rsid w:val="008F7E32"/>
    <w:rsid w:val="008F7F36"/>
    <w:rsid w:val="00900ABF"/>
    <w:rsid w:val="00901952"/>
    <w:rsid w:val="009074A6"/>
    <w:rsid w:val="0091105C"/>
    <w:rsid w:val="00916199"/>
    <w:rsid w:val="009200A3"/>
    <w:rsid w:val="00923A9E"/>
    <w:rsid w:val="009244D5"/>
    <w:rsid w:val="0092712D"/>
    <w:rsid w:val="0093282E"/>
    <w:rsid w:val="009353C0"/>
    <w:rsid w:val="00936652"/>
    <w:rsid w:val="009369CF"/>
    <w:rsid w:val="0093784B"/>
    <w:rsid w:val="00941B78"/>
    <w:rsid w:val="00941C56"/>
    <w:rsid w:val="009421C4"/>
    <w:rsid w:val="00946FA0"/>
    <w:rsid w:val="009470B1"/>
    <w:rsid w:val="00947406"/>
    <w:rsid w:val="009479EB"/>
    <w:rsid w:val="009518B1"/>
    <w:rsid w:val="009521DC"/>
    <w:rsid w:val="009528B0"/>
    <w:rsid w:val="00953122"/>
    <w:rsid w:val="009533E0"/>
    <w:rsid w:val="009576B4"/>
    <w:rsid w:val="00961B24"/>
    <w:rsid w:val="0096453A"/>
    <w:rsid w:val="00964C2D"/>
    <w:rsid w:val="00971277"/>
    <w:rsid w:val="00971A58"/>
    <w:rsid w:val="00971CA9"/>
    <w:rsid w:val="009736E7"/>
    <w:rsid w:val="0097491B"/>
    <w:rsid w:val="00975302"/>
    <w:rsid w:val="009757BE"/>
    <w:rsid w:val="0098000F"/>
    <w:rsid w:val="00981E6A"/>
    <w:rsid w:val="009824FF"/>
    <w:rsid w:val="00986C65"/>
    <w:rsid w:val="00987D51"/>
    <w:rsid w:val="00990AEE"/>
    <w:rsid w:val="009919E7"/>
    <w:rsid w:val="00994128"/>
    <w:rsid w:val="009950A7"/>
    <w:rsid w:val="009959B9"/>
    <w:rsid w:val="00995C74"/>
    <w:rsid w:val="009A16F6"/>
    <w:rsid w:val="009A26BC"/>
    <w:rsid w:val="009A49A9"/>
    <w:rsid w:val="009A5F7F"/>
    <w:rsid w:val="009B19E5"/>
    <w:rsid w:val="009B1C28"/>
    <w:rsid w:val="009B54A0"/>
    <w:rsid w:val="009B6EFE"/>
    <w:rsid w:val="009C1F2E"/>
    <w:rsid w:val="009C2789"/>
    <w:rsid w:val="009D3569"/>
    <w:rsid w:val="009D6B88"/>
    <w:rsid w:val="009D7F07"/>
    <w:rsid w:val="009E0758"/>
    <w:rsid w:val="009E2286"/>
    <w:rsid w:val="009E3ADE"/>
    <w:rsid w:val="009E3C54"/>
    <w:rsid w:val="009F22CB"/>
    <w:rsid w:val="009F47D4"/>
    <w:rsid w:val="009F7ADA"/>
    <w:rsid w:val="009F7B4C"/>
    <w:rsid w:val="00A005C5"/>
    <w:rsid w:val="00A03423"/>
    <w:rsid w:val="00A03E26"/>
    <w:rsid w:val="00A04C54"/>
    <w:rsid w:val="00A0546F"/>
    <w:rsid w:val="00A102ED"/>
    <w:rsid w:val="00A139A4"/>
    <w:rsid w:val="00A17359"/>
    <w:rsid w:val="00A208ED"/>
    <w:rsid w:val="00A20F86"/>
    <w:rsid w:val="00A21E52"/>
    <w:rsid w:val="00A223BB"/>
    <w:rsid w:val="00A22B6F"/>
    <w:rsid w:val="00A23996"/>
    <w:rsid w:val="00A24116"/>
    <w:rsid w:val="00A26AC3"/>
    <w:rsid w:val="00A31B84"/>
    <w:rsid w:val="00A33A64"/>
    <w:rsid w:val="00A40693"/>
    <w:rsid w:val="00A41C32"/>
    <w:rsid w:val="00A42B6C"/>
    <w:rsid w:val="00A4402B"/>
    <w:rsid w:val="00A44C0D"/>
    <w:rsid w:val="00A450AD"/>
    <w:rsid w:val="00A55FE5"/>
    <w:rsid w:val="00A56138"/>
    <w:rsid w:val="00A5740A"/>
    <w:rsid w:val="00A57733"/>
    <w:rsid w:val="00A61381"/>
    <w:rsid w:val="00A621BC"/>
    <w:rsid w:val="00A63D6B"/>
    <w:rsid w:val="00A65B0B"/>
    <w:rsid w:val="00A71307"/>
    <w:rsid w:val="00A71580"/>
    <w:rsid w:val="00A73195"/>
    <w:rsid w:val="00A73779"/>
    <w:rsid w:val="00A763E7"/>
    <w:rsid w:val="00A77876"/>
    <w:rsid w:val="00A81F5C"/>
    <w:rsid w:val="00A82C7A"/>
    <w:rsid w:val="00A843CC"/>
    <w:rsid w:val="00A84F64"/>
    <w:rsid w:val="00A86ADD"/>
    <w:rsid w:val="00A877B2"/>
    <w:rsid w:val="00A925A3"/>
    <w:rsid w:val="00A93393"/>
    <w:rsid w:val="00A94BF0"/>
    <w:rsid w:val="00A96BCF"/>
    <w:rsid w:val="00A97FCD"/>
    <w:rsid w:val="00AA02F6"/>
    <w:rsid w:val="00AA079B"/>
    <w:rsid w:val="00AA0C08"/>
    <w:rsid w:val="00AA0D57"/>
    <w:rsid w:val="00AA0EA5"/>
    <w:rsid w:val="00AA6D33"/>
    <w:rsid w:val="00AB002B"/>
    <w:rsid w:val="00AB1296"/>
    <w:rsid w:val="00AB6E25"/>
    <w:rsid w:val="00AC039D"/>
    <w:rsid w:val="00AC246F"/>
    <w:rsid w:val="00AC7DFF"/>
    <w:rsid w:val="00AD2C52"/>
    <w:rsid w:val="00AE4E7A"/>
    <w:rsid w:val="00AE556D"/>
    <w:rsid w:val="00AE65EF"/>
    <w:rsid w:val="00AF05BE"/>
    <w:rsid w:val="00AF07A4"/>
    <w:rsid w:val="00AF2860"/>
    <w:rsid w:val="00B005EE"/>
    <w:rsid w:val="00B009FB"/>
    <w:rsid w:val="00B010F5"/>
    <w:rsid w:val="00B0470F"/>
    <w:rsid w:val="00B0486C"/>
    <w:rsid w:val="00B07EDC"/>
    <w:rsid w:val="00B1237F"/>
    <w:rsid w:val="00B129E3"/>
    <w:rsid w:val="00B12A48"/>
    <w:rsid w:val="00B14128"/>
    <w:rsid w:val="00B14DE1"/>
    <w:rsid w:val="00B20C7B"/>
    <w:rsid w:val="00B2208C"/>
    <w:rsid w:val="00B310D6"/>
    <w:rsid w:val="00B346F8"/>
    <w:rsid w:val="00B35045"/>
    <w:rsid w:val="00B40518"/>
    <w:rsid w:val="00B43370"/>
    <w:rsid w:val="00B44158"/>
    <w:rsid w:val="00B458DB"/>
    <w:rsid w:val="00B51D8E"/>
    <w:rsid w:val="00B529A3"/>
    <w:rsid w:val="00B5439B"/>
    <w:rsid w:val="00B56D8A"/>
    <w:rsid w:val="00B5791C"/>
    <w:rsid w:val="00B601FA"/>
    <w:rsid w:val="00B606D0"/>
    <w:rsid w:val="00B6249F"/>
    <w:rsid w:val="00B633C0"/>
    <w:rsid w:val="00B65C63"/>
    <w:rsid w:val="00B65D5D"/>
    <w:rsid w:val="00B66ED3"/>
    <w:rsid w:val="00B80E2B"/>
    <w:rsid w:val="00B832DD"/>
    <w:rsid w:val="00B843BB"/>
    <w:rsid w:val="00B8457C"/>
    <w:rsid w:val="00B85093"/>
    <w:rsid w:val="00B87DF8"/>
    <w:rsid w:val="00B96B3B"/>
    <w:rsid w:val="00B97AFD"/>
    <w:rsid w:val="00BA0376"/>
    <w:rsid w:val="00BA08F3"/>
    <w:rsid w:val="00BA092C"/>
    <w:rsid w:val="00BA1014"/>
    <w:rsid w:val="00BA1C80"/>
    <w:rsid w:val="00BB31C3"/>
    <w:rsid w:val="00BB5D85"/>
    <w:rsid w:val="00BC1686"/>
    <w:rsid w:val="00BD0610"/>
    <w:rsid w:val="00BD1E7B"/>
    <w:rsid w:val="00BD219B"/>
    <w:rsid w:val="00BD4EF4"/>
    <w:rsid w:val="00BD4F3A"/>
    <w:rsid w:val="00BD5181"/>
    <w:rsid w:val="00BD6897"/>
    <w:rsid w:val="00BE1BFF"/>
    <w:rsid w:val="00BE1F44"/>
    <w:rsid w:val="00BE28B7"/>
    <w:rsid w:val="00BE3050"/>
    <w:rsid w:val="00BE4C85"/>
    <w:rsid w:val="00BF19D8"/>
    <w:rsid w:val="00C00BAA"/>
    <w:rsid w:val="00C00C96"/>
    <w:rsid w:val="00C03FF2"/>
    <w:rsid w:val="00C04B22"/>
    <w:rsid w:val="00C04E70"/>
    <w:rsid w:val="00C066CC"/>
    <w:rsid w:val="00C106BF"/>
    <w:rsid w:val="00C10EFC"/>
    <w:rsid w:val="00C11734"/>
    <w:rsid w:val="00C1181C"/>
    <w:rsid w:val="00C1396E"/>
    <w:rsid w:val="00C1403A"/>
    <w:rsid w:val="00C14B5D"/>
    <w:rsid w:val="00C14C46"/>
    <w:rsid w:val="00C15599"/>
    <w:rsid w:val="00C16A25"/>
    <w:rsid w:val="00C1768F"/>
    <w:rsid w:val="00C20D43"/>
    <w:rsid w:val="00C22000"/>
    <w:rsid w:val="00C2246F"/>
    <w:rsid w:val="00C24E4A"/>
    <w:rsid w:val="00C2525D"/>
    <w:rsid w:val="00C25931"/>
    <w:rsid w:val="00C263BB"/>
    <w:rsid w:val="00C31AE8"/>
    <w:rsid w:val="00C3344B"/>
    <w:rsid w:val="00C338CD"/>
    <w:rsid w:val="00C3398B"/>
    <w:rsid w:val="00C43733"/>
    <w:rsid w:val="00C43E88"/>
    <w:rsid w:val="00C44F8F"/>
    <w:rsid w:val="00C46828"/>
    <w:rsid w:val="00C50CCF"/>
    <w:rsid w:val="00C53B6A"/>
    <w:rsid w:val="00C561CB"/>
    <w:rsid w:val="00C6197E"/>
    <w:rsid w:val="00C63C08"/>
    <w:rsid w:val="00C65AE3"/>
    <w:rsid w:val="00C66249"/>
    <w:rsid w:val="00C7227B"/>
    <w:rsid w:val="00C752FA"/>
    <w:rsid w:val="00C75873"/>
    <w:rsid w:val="00C8119C"/>
    <w:rsid w:val="00C82751"/>
    <w:rsid w:val="00C833E7"/>
    <w:rsid w:val="00C83C4E"/>
    <w:rsid w:val="00C847E8"/>
    <w:rsid w:val="00C878BC"/>
    <w:rsid w:val="00C96519"/>
    <w:rsid w:val="00C96715"/>
    <w:rsid w:val="00CA315B"/>
    <w:rsid w:val="00CA3716"/>
    <w:rsid w:val="00CA423F"/>
    <w:rsid w:val="00CA497B"/>
    <w:rsid w:val="00CA5B45"/>
    <w:rsid w:val="00CB1B17"/>
    <w:rsid w:val="00CB44FB"/>
    <w:rsid w:val="00CB539A"/>
    <w:rsid w:val="00CB70BA"/>
    <w:rsid w:val="00CC1140"/>
    <w:rsid w:val="00CC3E4A"/>
    <w:rsid w:val="00CC5BE5"/>
    <w:rsid w:val="00CD4556"/>
    <w:rsid w:val="00CD6CC1"/>
    <w:rsid w:val="00CE39E0"/>
    <w:rsid w:val="00CE496F"/>
    <w:rsid w:val="00CF00E3"/>
    <w:rsid w:val="00CF1602"/>
    <w:rsid w:val="00CF1B81"/>
    <w:rsid w:val="00CF1BAA"/>
    <w:rsid w:val="00CF2A98"/>
    <w:rsid w:val="00CF3490"/>
    <w:rsid w:val="00D0261F"/>
    <w:rsid w:val="00D0383A"/>
    <w:rsid w:val="00D0421C"/>
    <w:rsid w:val="00D05A0E"/>
    <w:rsid w:val="00D05DF5"/>
    <w:rsid w:val="00D108EF"/>
    <w:rsid w:val="00D14185"/>
    <w:rsid w:val="00D16D24"/>
    <w:rsid w:val="00D16D5D"/>
    <w:rsid w:val="00D16DFE"/>
    <w:rsid w:val="00D177D1"/>
    <w:rsid w:val="00D20495"/>
    <w:rsid w:val="00D226A9"/>
    <w:rsid w:val="00D247A8"/>
    <w:rsid w:val="00D2545F"/>
    <w:rsid w:val="00D2788B"/>
    <w:rsid w:val="00D32EFB"/>
    <w:rsid w:val="00D343A8"/>
    <w:rsid w:val="00D34C22"/>
    <w:rsid w:val="00D3501B"/>
    <w:rsid w:val="00D360C5"/>
    <w:rsid w:val="00D37261"/>
    <w:rsid w:val="00D41129"/>
    <w:rsid w:val="00D416DF"/>
    <w:rsid w:val="00D42AAF"/>
    <w:rsid w:val="00D458A3"/>
    <w:rsid w:val="00D501CD"/>
    <w:rsid w:val="00D50C94"/>
    <w:rsid w:val="00D52B73"/>
    <w:rsid w:val="00D5732E"/>
    <w:rsid w:val="00D5775F"/>
    <w:rsid w:val="00D600F4"/>
    <w:rsid w:val="00D6278D"/>
    <w:rsid w:val="00D6283C"/>
    <w:rsid w:val="00D637DC"/>
    <w:rsid w:val="00D67DF6"/>
    <w:rsid w:val="00D70375"/>
    <w:rsid w:val="00D72783"/>
    <w:rsid w:val="00D81DE6"/>
    <w:rsid w:val="00D844B7"/>
    <w:rsid w:val="00D846DD"/>
    <w:rsid w:val="00D900BF"/>
    <w:rsid w:val="00D90FE8"/>
    <w:rsid w:val="00D9289F"/>
    <w:rsid w:val="00D935B1"/>
    <w:rsid w:val="00D936E8"/>
    <w:rsid w:val="00D97CFC"/>
    <w:rsid w:val="00DA18F8"/>
    <w:rsid w:val="00DA36C0"/>
    <w:rsid w:val="00DA69F3"/>
    <w:rsid w:val="00DB3BA5"/>
    <w:rsid w:val="00DC0D87"/>
    <w:rsid w:val="00DC1C76"/>
    <w:rsid w:val="00DC2AA5"/>
    <w:rsid w:val="00DC33B5"/>
    <w:rsid w:val="00DC39C5"/>
    <w:rsid w:val="00DC7215"/>
    <w:rsid w:val="00DC7A4E"/>
    <w:rsid w:val="00DD15F7"/>
    <w:rsid w:val="00DD3698"/>
    <w:rsid w:val="00DD46E2"/>
    <w:rsid w:val="00DD6C45"/>
    <w:rsid w:val="00DE1E21"/>
    <w:rsid w:val="00DE3290"/>
    <w:rsid w:val="00DE516F"/>
    <w:rsid w:val="00DF0AE9"/>
    <w:rsid w:val="00E04D37"/>
    <w:rsid w:val="00E07546"/>
    <w:rsid w:val="00E11347"/>
    <w:rsid w:val="00E13977"/>
    <w:rsid w:val="00E16D1E"/>
    <w:rsid w:val="00E17038"/>
    <w:rsid w:val="00E17B6F"/>
    <w:rsid w:val="00E217E6"/>
    <w:rsid w:val="00E21803"/>
    <w:rsid w:val="00E228E9"/>
    <w:rsid w:val="00E317DA"/>
    <w:rsid w:val="00E40938"/>
    <w:rsid w:val="00E41FDB"/>
    <w:rsid w:val="00E44487"/>
    <w:rsid w:val="00E44D99"/>
    <w:rsid w:val="00E4547A"/>
    <w:rsid w:val="00E463D4"/>
    <w:rsid w:val="00E50BC4"/>
    <w:rsid w:val="00E54EC0"/>
    <w:rsid w:val="00E635F0"/>
    <w:rsid w:val="00E63ED3"/>
    <w:rsid w:val="00E67616"/>
    <w:rsid w:val="00E67A96"/>
    <w:rsid w:val="00E70E9A"/>
    <w:rsid w:val="00E73B5F"/>
    <w:rsid w:val="00E73CBF"/>
    <w:rsid w:val="00E73E67"/>
    <w:rsid w:val="00E81DB8"/>
    <w:rsid w:val="00E829DC"/>
    <w:rsid w:val="00E82ADA"/>
    <w:rsid w:val="00E90BE0"/>
    <w:rsid w:val="00E90C9F"/>
    <w:rsid w:val="00E942A5"/>
    <w:rsid w:val="00E94709"/>
    <w:rsid w:val="00E95228"/>
    <w:rsid w:val="00E9569D"/>
    <w:rsid w:val="00E967E9"/>
    <w:rsid w:val="00EA04F0"/>
    <w:rsid w:val="00EA0CB3"/>
    <w:rsid w:val="00EA6506"/>
    <w:rsid w:val="00EB167F"/>
    <w:rsid w:val="00EB2D92"/>
    <w:rsid w:val="00EB3F2D"/>
    <w:rsid w:val="00EB4D81"/>
    <w:rsid w:val="00EB633B"/>
    <w:rsid w:val="00EC2E3F"/>
    <w:rsid w:val="00EC3E2E"/>
    <w:rsid w:val="00ED0AAF"/>
    <w:rsid w:val="00ED0D5E"/>
    <w:rsid w:val="00ED5F53"/>
    <w:rsid w:val="00ED749C"/>
    <w:rsid w:val="00EE24FC"/>
    <w:rsid w:val="00EE69AF"/>
    <w:rsid w:val="00EF62AE"/>
    <w:rsid w:val="00EF7137"/>
    <w:rsid w:val="00EF742C"/>
    <w:rsid w:val="00EF7B59"/>
    <w:rsid w:val="00F00223"/>
    <w:rsid w:val="00F051A8"/>
    <w:rsid w:val="00F11AB0"/>
    <w:rsid w:val="00F16F0D"/>
    <w:rsid w:val="00F201A1"/>
    <w:rsid w:val="00F20D78"/>
    <w:rsid w:val="00F23FF3"/>
    <w:rsid w:val="00F24172"/>
    <w:rsid w:val="00F25F3A"/>
    <w:rsid w:val="00F3241A"/>
    <w:rsid w:val="00F327A8"/>
    <w:rsid w:val="00F3381F"/>
    <w:rsid w:val="00F36364"/>
    <w:rsid w:val="00F36B13"/>
    <w:rsid w:val="00F41A23"/>
    <w:rsid w:val="00F43692"/>
    <w:rsid w:val="00F44F93"/>
    <w:rsid w:val="00F45C2C"/>
    <w:rsid w:val="00F51A3A"/>
    <w:rsid w:val="00F54664"/>
    <w:rsid w:val="00F5620C"/>
    <w:rsid w:val="00F56D0D"/>
    <w:rsid w:val="00F575C4"/>
    <w:rsid w:val="00F57B4A"/>
    <w:rsid w:val="00F60324"/>
    <w:rsid w:val="00F6132C"/>
    <w:rsid w:val="00F6375F"/>
    <w:rsid w:val="00F641A7"/>
    <w:rsid w:val="00F7114B"/>
    <w:rsid w:val="00F726D1"/>
    <w:rsid w:val="00F74985"/>
    <w:rsid w:val="00F77A3F"/>
    <w:rsid w:val="00F77F69"/>
    <w:rsid w:val="00F82C8A"/>
    <w:rsid w:val="00F82DFF"/>
    <w:rsid w:val="00F85A28"/>
    <w:rsid w:val="00F9492C"/>
    <w:rsid w:val="00F96FDC"/>
    <w:rsid w:val="00F97EE9"/>
    <w:rsid w:val="00FA099B"/>
    <w:rsid w:val="00FA4D01"/>
    <w:rsid w:val="00FA6D95"/>
    <w:rsid w:val="00FB25FA"/>
    <w:rsid w:val="00FB430F"/>
    <w:rsid w:val="00FB61C6"/>
    <w:rsid w:val="00FB6530"/>
    <w:rsid w:val="00FC366E"/>
    <w:rsid w:val="00FD0E1D"/>
    <w:rsid w:val="00FD0EA0"/>
    <w:rsid w:val="00FD2C4D"/>
    <w:rsid w:val="00FD3F1B"/>
    <w:rsid w:val="00FD42CF"/>
    <w:rsid w:val="00FD519F"/>
    <w:rsid w:val="00FD5531"/>
    <w:rsid w:val="00FE04A0"/>
    <w:rsid w:val="00FE3147"/>
    <w:rsid w:val="00FE3294"/>
    <w:rsid w:val="00FE6DD1"/>
    <w:rsid w:val="00FE7684"/>
    <w:rsid w:val="00FE7BCF"/>
    <w:rsid w:val="00FF0E49"/>
    <w:rsid w:val="00FF6528"/>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B9C37CEC-7B0C-48AD-96C6-BF32811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62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3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262F"/>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86C65"/>
    <w:rPr>
      <w:rFonts w:ascii="Calibri" w:eastAsia="Calibri" w:hAnsi="Calibri"/>
      <w:sz w:val="20"/>
      <w:szCs w:val="20"/>
    </w:rPr>
  </w:style>
  <w:style w:type="paragraph" w:customStyle="1" w:styleId="paragraph">
    <w:name w:val="paragraph"/>
    <w:basedOn w:val="Normal"/>
    <w:rsid w:val="00C10EF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0EFC"/>
  </w:style>
  <w:style w:type="character" w:customStyle="1" w:styleId="eop">
    <w:name w:val="eop"/>
    <w:basedOn w:val="DefaultParagraphFont"/>
    <w:rsid w:val="00C10EFC"/>
  </w:style>
  <w:style w:type="table" w:styleId="TableGridLight">
    <w:name w:val="Grid Table Light"/>
    <w:basedOn w:val="TableNormal"/>
    <w:uiPriority w:val="40"/>
    <w:rsid w:val="00E942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ss-1qaijid">
    <w:name w:val="css-1qaijid"/>
    <w:basedOn w:val="DefaultParagraphFont"/>
    <w:rsid w:val="00E90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E107F-67DA-47D1-96F6-5D9FF7688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3.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customXml/itemProps4.xml><?xml version="1.0" encoding="utf-8"?>
<ds:datastoreItem xmlns:ds="http://schemas.openxmlformats.org/officeDocument/2006/customXml" ds:itemID="{A50F763A-1A26-4BE5-BFC1-746ACF2EE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1094</Words>
  <Characters>5724</Characters>
  <Application>Microsoft Office Word</Application>
  <DocSecurity>0</DocSecurity>
  <Lines>98</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17</cp:revision>
  <cp:lastPrinted>2024-01-05T17:15:00Z</cp:lastPrinted>
  <dcterms:created xsi:type="dcterms:W3CDTF">2025-01-07T17:18:00Z</dcterms:created>
  <dcterms:modified xsi:type="dcterms:W3CDTF">2025-01-07T17:28:00Z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cf33c39ae9b19d6907792d41a599c70f7c81995ac3910b74f2bdbc0eb1f5aef5</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2023-04-14T16:18:57Z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4ca201b8-b6ec-4e9c-a825-0f7953f2c9da</vt:lpwstr>
  </property>
  <property fmtid="{D5CDD505-2E9C-101B-9397-08002B2CF9AE}" pid="13" name="MSIP_Label_3051285f-f755-4462-b4c0-b07610771de8_ContentBits">
    <vt:lpwstr>0</vt:lpwstr>
  </property>
</Properties>
</file>