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3D90F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65D2E99D" w:rsidR="00310271" w:rsidRPr="004D480C" w:rsidRDefault="00E5192E" w:rsidP="00BF0243">
      <w:pPr>
        <w:ind w:left="720"/>
        <w:rPr>
          <w:rFonts w:eastAsia="Proxima Nova Light" w:cstheme="minorHAnsi"/>
          <w:color w:val="005EA4"/>
          <w:sz w:val="44"/>
          <w:szCs w:val="44"/>
        </w:rPr>
      </w:pPr>
      <w:r>
        <w:rPr>
          <w:rFonts w:eastAsia="Times New Roman" w:cstheme="minorHAnsi"/>
          <w:b/>
          <w:bCs/>
          <w:color w:val="005EA4"/>
          <w:sz w:val="44"/>
          <w:szCs w:val="44"/>
        </w:rPr>
        <w:t>January</w:t>
      </w:r>
      <w:r w:rsidR="00CB424D">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805E10">
        <w:rPr>
          <w:rFonts w:eastAsia="Times New Roman" w:cstheme="minorHAnsi"/>
          <w:b/>
          <w:bCs/>
          <w:color w:val="005EA4"/>
          <w:sz w:val="44"/>
          <w:szCs w:val="44"/>
        </w:rPr>
        <w:t>5</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29CE8"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1751D9" w:rsidRDefault="00723E52" w:rsidP="00513DD7">
      <w:pPr>
        <w:ind w:left="-630"/>
        <w:rPr>
          <w:rFonts w:cstheme="minorHAnsi"/>
          <w:color w:val="58595B"/>
          <w:sz w:val="21"/>
          <w:szCs w:val="21"/>
        </w:rPr>
      </w:pPr>
    </w:p>
    <w:p w14:paraId="7D768E1E" w14:textId="77777777" w:rsidR="001751D9" w:rsidRPr="001751D9" w:rsidRDefault="001751D9" w:rsidP="001751D9">
      <w:pPr>
        <w:rPr>
          <w:color w:val="58595B"/>
        </w:rPr>
      </w:pPr>
      <w:r w:rsidRPr="001751D9">
        <w:rPr>
          <w:color w:val="58595B"/>
        </w:rPr>
        <w:t xml:space="preserve">After some late </w:t>
      </w:r>
      <w:proofErr w:type="gramStart"/>
      <w:r w:rsidRPr="001751D9">
        <w:rPr>
          <w:color w:val="58595B"/>
        </w:rPr>
        <w:t>month</w:t>
      </w:r>
      <w:proofErr w:type="gramEnd"/>
      <w:r w:rsidRPr="001751D9">
        <w:rPr>
          <w:color w:val="58595B"/>
        </w:rPr>
        <w:t xml:space="preserve"> volatility, the stock market closed out January on a positive note. All major indices ended in positive territory, supported by a steady march of positive economic news. US economic growth was solid during the fourth quarter of 2024, but off its 2023 pace. Home sales in the US also showed improvement during December, marking the best gains since 2021. The Federal Reserve's (Fed) preferred inflation gauge came in as expected but remained above the Fed's target. </w:t>
      </w:r>
    </w:p>
    <w:p w14:paraId="4D4BED58" w14:textId="77777777" w:rsidR="006C1374" w:rsidRPr="007C0CCA" w:rsidRDefault="006C1374" w:rsidP="006C1374">
      <w:pPr>
        <w:pStyle w:val="Heading2"/>
        <w:rPr>
          <w:rFonts w:asciiTheme="minorHAnsi" w:hAnsiTheme="minorHAnsi" w:cstheme="minorHAnsi"/>
          <w:color w:val="005EA4"/>
        </w:rPr>
      </w:pPr>
      <w:r w:rsidRPr="007C0CCA">
        <w:rPr>
          <w:rFonts w:asciiTheme="minorHAnsi" w:hAnsiTheme="minorHAnsi" w:cstheme="minorHAnsi"/>
          <w:color w:val="005EA4"/>
        </w:rPr>
        <w:t xml:space="preserve">Markets End January on Positive Note </w:t>
      </w:r>
    </w:p>
    <w:p w14:paraId="5A075B19" w14:textId="77777777" w:rsidR="003B4CF3" w:rsidRPr="003B4CF3" w:rsidRDefault="003B4CF3" w:rsidP="003B4CF3">
      <w:pPr>
        <w:rPr>
          <w:color w:val="58595B"/>
        </w:rPr>
      </w:pPr>
      <w:r w:rsidRPr="003B4CF3">
        <w:rPr>
          <w:color w:val="58595B"/>
        </w:rPr>
        <w:t xml:space="preserve">The markets endured late-month volatility as investors digested a flurry of earnings reports, the latest news on the inflation front, and the low-cost development and popularity of China's </w:t>
      </w:r>
      <w:proofErr w:type="spellStart"/>
      <w:r w:rsidRPr="003B4CF3">
        <w:rPr>
          <w:color w:val="58595B"/>
        </w:rPr>
        <w:t>DeepSeek</w:t>
      </w:r>
      <w:proofErr w:type="spellEnd"/>
      <w:r w:rsidRPr="003B4CF3">
        <w:rPr>
          <w:color w:val="58595B"/>
        </w:rPr>
        <w:t xml:space="preserve"> artificial intelligence (AI) model. Despite the volatility, all the major indices closed out the month on an upswing, with the Dow Jones Industrial Average® (DJIA) leading the way higher, up 4.7% compared to November. The broad market S&amp;P 500® (SPX) also climbed higher in December, up 2.7%. Meanwhile, the tech-heavy NASDAQ Composite Index rose 1.6%, shaking off unsettling news on the AI front.</w:t>
      </w:r>
    </w:p>
    <w:p w14:paraId="418CE759" w14:textId="77777777" w:rsidR="003B4CF3" w:rsidRPr="003B4CF3" w:rsidRDefault="003B4CF3" w:rsidP="003B4CF3">
      <w:pPr>
        <w:rPr>
          <w:color w:val="58595B"/>
        </w:rPr>
      </w:pPr>
    </w:p>
    <w:p w14:paraId="673EC01F" w14:textId="77777777" w:rsidR="003B4CF3" w:rsidRPr="003B4CF3" w:rsidRDefault="003B4CF3" w:rsidP="003B4CF3">
      <w:pPr>
        <w:rPr>
          <w:color w:val="58595B"/>
        </w:rPr>
      </w:pPr>
      <w:r w:rsidRPr="003B4CF3">
        <w:rPr>
          <w:color w:val="58595B"/>
        </w:rPr>
        <w:t xml:space="preserve">The markets continue to be buoyed by a host of positive economic reports, including solid economic growth, an uptick in the housing market, and inflation news that, while still not ideal, continues to improve. However, the effects of the Trump administration's tariffs on goods from Mexico, Canada, and China provide increasing uncertainty across all the markets. </w:t>
      </w:r>
    </w:p>
    <w:p w14:paraId="7685076C" w14:textId="77777777" w:rsidR="00442743" w:rsidRPr="001470E4" w:rsidRDefault="00442743" w:rsidP="00962FF6">
      <w:pPr>
        <w:ind w:right="360"/>
        <w:rPr>
          <w:rFonts w:eastAsia="Avenir" w:cstheme="minorHAnsi"/>
        </w:rPr>
      </w:pPr>
    </w:p>
    <w:p w14:paraId="16D4BB9F" w14:textId="78857B2A" w:rsidR="004F6014" w:rsidRDefault="007E4BAC" w:rsidP="003B44B8">
      <w:pPr>
        <w:ind w:left="360"/>
        <w:jc w:val="center"/>
        <w:rPr>
          <w:rFonts w:ascii="Avenir" w:eastAsia="Avenir" w:hAnsi="Avenir" w:cs="Avenir"/>
        </w:rPr>
      </w:pPr>
      <w:r>
        <w:rPr>
          <w:noProof/>
        </w:rPr>
        <w:drawing>
          <wp:inline distT="0" distB="0" distL="0" distR="0" wp14:anchorId="33D2EA5A" wp14:editId="3D754E58">
            <wp:extent cx="5943600" cy="2844165"/>
            <wp:effectExtent l="0" t="0" r="0" b="0"/>
            <wp:docPr id="1025877346"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77346" name="Picture 1" descr="A graph with blue lines&#10;&#10;Description automatically generated"/>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2844165"/>
                    </a:xfrm>
                    <a:prstGeom prst="rect">
                      <a:avLst/>
                    </a:prstGeom>
                  </pic:spPr>
                </pic:pic>
              </a:graphicData>
            </a:graphic>
          </wp:inline>
        </w:drawing>
      </w:r>
    </w:p>
    <w:p w14:paraId="4E1B165A" w14:textId="77777777" w:rsidR="003B0255" w:rsidRDefault="003B0255" w:rsidP="003B0255">
      <w:pPr>
        <w:jc w:val="center"/>
      </w:pPr>
      <w:r w:rsidRPr="007E6DA0">
        <w:t xml:space="preserve">Source: </w:t>
      </w:r>
      <w:hyperlink r:id="rId20" w:history="1">
        <w:r w:rsidRPr="007E6DA0">
          <w:rPr>
            <w:rStyle w:val="Hyperlink"/>
          </w:rPr>
          <w:t>Wall Street Journal</w:t>
        </w:r>
      </w:hyperlink>
    </w:p>
    <w:p w14:paraId="7879B08F" w14:textId="77777777" w:rsidR="00D75C33" w:rsidRPr="001470E4" w:rsidRDefault="00D75C33" w:rsidP="00714486">
      <w:pPr>
        <w:ind w:right="360"/>
        <w:jc w:val="center"/>
        <w:rPr>
          <w:rFonts w:eastAsia="Avenir" w:cstheme="minorHAnsi"/>
        </w:rPr>
      </w:pPr>
    </w:p>
    <w:p w14:paraId="711A794C" w14:textId="77777777" w:rsidR="00FA57CE" w:rsidRPr="007C0CCA" w:rsidRDefault="00FA57CE" w:rsidP="00FA57CE">
      <w:pPr>
        <w:pStyle w:val="Heading2"/>
        <w:rPr>
          <w:rFonts w:asciiTheme="minorHAnsi" w:hAnsiTheme="minorHAnsi" w:cstheme="minorHAnsi"/>
          <w:color w:val="005EA4"/>
        </w:rPr>
      </w:pPr>
      <w:r w:rsidRPr="007C0CCA">
        <w:rPr>
          <w:rFonts w:asciiTheme="minorHAnsi" w:hAnsiTheme="minorHAnsi" w:cstheme="minorHAnsi"/>
          <w:color w:val="005EA4"/>
        </w:rPr>
        <w:t>Economic Growth Solid</w:t>
      </w:r>
    </w:p>
    <w:p w14:paraId="44683D45" w14:textId="77777777" w:rsidR="000507C5" w:rsidRPr="000507C5" w:rsidRDefault="000507C5" w:rsidP="000507C5">
      <w:pPr>
        <w:spacing w:after="160" w:line="259" w:lineRule="auto"/>
        <w:rPr>
          <w:color w:val="58595B"/>
        </w:rPr>
      </w:pPr>
      <w:r w:rsidRPr="000507C5">
        <w:rPr>
          <w:color w:val="58595B"/>
        </w:rPr>
        <w:t xml:space="preserve">The US economy grew at a 2.3% annual pace during the fourth quarter of 2024 according to the "Advance" or first estimate of Gross Domestic Product (GDP) by the Bureau of Economic Analysis. The inflation-adjusted pace was below </w:t>
      </w:r>
      <w:proofErr w:type="gramStart"/>
      <w:r w:rsidRPr="000507C5">
        <w:rPr>
          <w:color w:val="58595B"/>
        </w:rPr>
        <w:t>Dow</w:t>
      </w:r>
      <w:proofErr w:type="gramEnd"/>
      <w:r w:rsidRPr="000507C5">
        <w:rPr>
          <w:color w:val="58595B"/>
        </w:rPr>
        <w:t xml:space="preserve"> Jones estimates, which called for a 2.5% growth rate. For 2024, GDP grew at a 2.8% pace, slightly off the 2.9% pace set in 2023, but still on solid ground.</w:t>
      </w:r>
    </w:p>
    <w:p w14:paraId="6E034E37" w14:textId="77777777" w:rsidR="000507C5" w:rsidRDefault="000507C5" w:rsidP="000507C5">
      <w:pPr>
        <w:spacing w:after="160" w:line="259" w:lineRule="auto"/>
      </w:pPr>
      <w:r w:rsidRPr="000507C5">
        <w:rPr>
          <w:color w:val="58595B"/>
        </w:rPr>
        <w:lastRenderedPageBreak/>
        <w:t>Consumer spending grew at a strong 4.2% rate during the fourth quarter and accounted for two-thirds of economic activity, proving once again that economic growth in the US rests firmly on the back of individual spending. That spending comes despite the ongoing burden of higher prices in key pockets of the US economy, including eggs, homes, and cars. And while inflation is off its historic highs, it remains a drag on consumers so much so that it played a key role in the Trump administration's return to the White House. During the quarter, government spending provided growth support, accelerating at a 3.2% pace.</w:t>
      </w:r>
      <w:r>
        <w:t xml:space="preserve"> </w:t>
      </w:r>
      <w:hyperlink r:id="rId21" w:history="1">
        <w:r w:rsidRPr="0032124B">
          <w:rPr>
            <w:rStyle w:val="Hyperlink"/>
          </w:rPr>
          <w:t>CNBC</w:t>
        </w:r>
      </w:hyperlink>
    </w:p>
    <w:p w14:paraId="524C05F6" w14:textId="77777777" w:rsidR="00DD3B32" w:rsidRPr="00E41CB0" w:rsidRDefault="00DD3B32" w:rsidP="00E41CB0">
      <w:pPr>
        <w:pStyle w:val="Heading2"/>
        <w:ind w:right="360"/>
        <w:rPr>
          <w:rFonts w:asciiTheme="minorHAnsi" w:eastAsia="Avenir" w:hAnsiTheme="minorHAnsi" w:cstheme="minorHAnsi"/>
          <w:color w:val="005EA4"/>
        </w:rPr>
      </w:pPr>
      <w:r w:rsidRPr="00E41CB0">
        <w:rPr>
          <w:rFonts w:asciiTheme="minorHAnsi" w:eastAsia="Avenir" w:hAnsiTheme="minorHAnsi" w:cstheme="minorHAnsi"/>
          <w:color w:val="005EA4"/>
        </w:rPr>
        <w:t xml:space="preserve">US Home Sales Surge </w:t>
      </w:r>
    </w:p>
    <w:p w14:paraId="0E9D97E2" w14:textId="47B62AE3" w:rsidR="00E41CB0" w:rsidRPr="007C0CCA" w:rsidRDefault="00E41CB0" w:rsidP="00E41CB0">
      <w:pPr>
        <w:rPr>
          <w:color w:val="58595B"/>
        </w:rPr>
      </w:pPr>
      <w:r w:rsidRPr="007C0CCA">
        <w:rPr>
          <w:color w:val="58595B"/>
        </w:rPr>
        <w:t xml:space="preserve">Sales of existing homes in the US rose 2.2% to 4.24 million units in December, marking the strongest sales pace since February 2024, according to the National Association of Realtors (NAR). Compared to a </w:t>
      </w:r>
      <w:proofErr w:type="gramStart"/>
      <w:r w:rsidRPr="007C0CCA">
        <w:rPr>
          <w:color w:val="58595B"/>
        </w:rPr>
        <w:t>year-ago</w:t>
      </w:r>
      <w:proofErr w:type="gramEnd"/>
      <w:r w:rsidR="00D909B8" w:rsidRPr="007C0CCA">
        <w:rPr>
          <w:color w:val="58595B"/>
        </w:rPr>
        <w:t>,</w:t>
      </w:r>
      <w:r w:rsidRPr="007C0CCA">
        <w:rPr>
          <w:color w:val="58595B"/>
        </w:rPr>
        <w:t xml:space="preserve"> sales grew at a blistering rate, up 9.3%</w:t>
      </w:r>
      <w:r w:rsidR="00D909B8" w:rsidRPr="007C0CCA">
        <w:rPr>
          <w:color w:val="58595B"/>
        </w:rPr>
        <w:t>,</w:t>
      </w:r>
      <w:r w:rsidRPr="007C0CCA">
        <w:rPr>
          <w:color w:val="58595B"/>
        </w:rPr>
        <w:t xml:space="preserve"> marking the largest yearly gain since June 2021. Sales prices also continued their march higher in December, jumping 6% to $404,400. That marks the 18th consecutive month of price increases and the largest year-over-year increase since October 2022.</w:t>
      </w:r>
    </w:p>
    <w:p w14:paraId="35E011A4" w14:textId="77777777" w:rsidR="00E41CB0" w:rsidRPr="007C0CCA" w:rsidRDefault="00E41CB0" w:rsidP="00E41CB0">
      <w:pPr>
        <w:rPr>
          <w:color w:val="58595B"/>
        </w:rPr>
      </w:pPr>
    </w:p>
    <w:p w14:paraId="4ED88261" w14:textId="49F44803" w:rsidR="00E41CB0" w:rsidRPr="007C0CCA" w:rsidRDefault="00E41CB0" w:rsidP="00E41CB0">
      <w:pPr>
        <w:rPr>
          <w:color w:val="58595B"/>
        </w:rPr>
      </w:pPr>
      <w:r w:rsidRPr="007C0CCA">
        <w:rPr>
          <w:color w:val="58595B"/>
        </w:rPr>
        <w:t>The final months of 2024 showed much needed recovery in the housing market, which has been battered by lack of inventory, high mortgage rates, and the so-called lock-in effect</w:t>
      </w:r>
      <w:r w:rsidR="00DA3544" w:rsidRPr="007C0CCA">
        <w:rPr>
          <w:color w:val="58595B"/>
        </w:rPr>
        <w:t>,</w:t>
      </w:r>
      <w:r w:rsidRPr="007C0CCA">
        <w:rPr>
          <w:color w:val="58595B"/>
        </w:rPr>
        <w:t xml:space="preserve"> where existing homeowners are reluctant to give up their low</w:t>
      </w:r>
      <w:r w:rsidR="0008061F" w:rsidRPr="007C0CCA">
        <w:rPr>
          <w:color w:val="58595B"/>
        </w:rPr>
        <w:t>-</w:t>
      </w:r>
      <w:r w:rsidRPr="007C0CCA">
        <w:rPr>
          <w:color w:val="58595B"/>
        </w:rPr>
        <w:t>cost mortgages. The news also comes despite the winter season, which is typically softer than the spring and summer. Home sales have now climbed on a year-over-year basis for three straight months.</w:t>
      </w:r>
    </w:p>
    <w:p w14:paraId="6CBFDF2A" w14:textId="77777777" w:rsidR="00E41CB0" w:rsidRPr="007C0CCA" w:rsidRDefault="00E41CB0" w:rsidP="00E41CB0">
      <w:pPr>
        <w:rPr>
          <w:color w:val="58595B"/>
        </w:rPr>
      </w:pPr>
    </w:p>
    <w:p w14:paraId="43E6F6F9" w14:textId="007EB03E" w:rsidR="00E41CB0" w:rsidRPr="00E41CB0" w:rsidRDefault="00E41CB0" w:rsidP="00E41CB0">
      <w:r w:rsidRPr="007C0CCA">
        <w:rPr>
          <w:color w:val="58595B"/>
        </w:rPr>
        <w:t>According to NAR Chief Economist Lawrence Yun, "consumers clearly understand the long-term benefits of homeownership. Job and wage gains, along with increased inventory, are positively impacting the market.</w:t>
      </w:r>
      <w:r>
        <w:t>"</w:t>
      </w:r>
      <w:r w:rsidR="00B62503">
        <w:t xml:space="preserve"> </w:t>
      </w:r>
      <w:hyperlink r:id="rId22" w:history="1">
        <w:r w:rsidR="00B62503" w:rsidRPr="00FD7D48">
          <w:rPr>
            <w:rStyle w:val="Hyperlink"/>
          </w:rPr>
          <w:t>NAR</w:t>
        </w:r>
      </w:hyperlink>
    </w:p>
    <w:p w14:paraId="228D5000" w14:textId="77777777" w:rsidR="008D1AC2" w:rsidRPr="008D1AC2" w:rsidRDefault="008D1AC2" w:rsidP="008D1AC2">
      <w:pPr>
        <w:pStyle w:val="Heading2"/>
        <w:ind w:right="360"/>
        <w:rPr>
          <w:rFonts w:asciiTheme="minorHAnsi" w:eastAsia="Avenir" w:hAnsiTheme="minorHAnsi" w:cstheme="minorHAnsi"/>
          <w:color w:val="005EA4"/>
        </w:rPr>
      </w:pPr>
      <w:r w:rsidRPr="008D1AC2">
        <w:rPr>
          <w:rFonts w:asciiTheme="minorHAnsi" w:eastAsia="Avenir" w:hAnsiTheme="minorHAnsi" w:cstheme="minorHAnsi"/>
          <w:color w:val="005EA4"/>
        </w:rPr>
        <w:t>Inflation Still Elevated but in line with Expectations</w:t>
      </w:r>
    </w:p>
    <w:p w14:paraId="44EFFCD7" w14:textId="6996CDCF" w:rsidR="00E9719E" w:rsidRPr="007C0CCA" w:rsidRDefault="00E9719E" w:rsidP="00E9719E">
      <w:pPr>
        <w:rPr>
          <w:color w:val="58595B"/>
        </w:rPr>
      </w:pPr>
      <w:r w:rsidRPr="007C0CCA">
        <w:rPr>
          <w:color w:val="58595B"/>
        </w:rPr>
        <w:t xml:space="preserve">Inflation held steady in December, </w:t>
      </w:r>
      <w:r w:rsidR="009525F2" w:rsidRPr="007C0CCA">
        <w:rPr>
          <w:color w:val="58595B"/>
        </w:rPr>
        <w:t>which was in line with expectations</w:t>
      </w:r>
      <w:r w:rsidRPr="007C0CCA">
        <w:rPr>
          <w:color w:val="58595B"/>
        </w:rPr>
        <w:t xml:space="preserve"> but still above the Fed's target rate. The personal consumption expenditures price index (PCE) -- the Fed's preferred inflation gauge -- increased at an annual rate of 2.6% in December, meeting expectations. Excluding the more volatile components of food and energy, </w:t>
      </w:r>
      <w:r w:rsidR="00280765" w:rsidRPr="007C0CCA">
        <w:rPr>
          <w:color w:val="58595B"/>
        </w:rPr>
        <w:t xml:space="preserve">the so-called core PCE closed </w:t>
      </w:r>
      <w:proofErr w:type="gramStart"/>
      <w:r w:rsidR="00280765" w:rsidRPr="007C0CCA">
        <w:rPr>
          <w:color w:val="58595B"/>
        </w:rPr>
        <w:t>out</w:t>
      </w:r>
      <w:proofErr w:type="gramEnd"/>
      <w:r w:rsidR="00280765" w:rsidRPr="007C0CCA">
        <w:rPr>
          <w:color w:val="58595B"/>
        </w:rPr>
        <w:t xml:space="preserve"> December at</w:t>
      </w:r>
      <w:r w:rsidRPr="007C0CCA">
        <w:rPr>
          <w:color w:val="58595B"/>
        </w:rPr>
        <w:t xml:space="preserve"> 2.8% higher than a year ago, also meeting expectations. On a monthly basis, headline and core PCE increased 0.3% and 0.2%</w:t>
      </w:r>
      <w:r w:rsidR="008E056D" w:rsidRPr="007C0CCA">
        <w:rPr>
          <w:color w:val="58595B"/>
        </w:rPr>
        <w:t>,</w:t>
      </w:r>
      <w:r w:rsidRPr="007C0CCA">
        <w:rPr>
          <w:color w:val="58595B"/>
        </w:rPr>
        <w:t xml:space="preserve"> respectively, both hitting analyst targets as well. </w:t>
      </w:r>
    </w:p>
    <w:p w14:paraId="1A50DD2D" w14:textId="77777777" w:rsidR="00E9719E" w:rsidRPr="007C0CCA" w:rsidRDefault="00E9719E" w:rsidP="00E9719E">
      <w:pPr>
        <w:rPr>
          <w:color w:val="58595B"/>
        </w:rPr>
      </w:pPr>
    </w:p>
    <w:p w14:paraId="45C38EE2" w14:textId="700230F4" w:rsidR="00E9719E" w:rsidRPr="007C0CCA" w:rsidRDefault="00E9719E" w:rsidP="00E9719E">
      <w:pPr>
        <w:rPr>
          <w:color w:val="58595B"/>
        </w:rPr>
      </w:pPr>
      <w:r w:rsidRPr="007C0CCA">
        <w:rPr>
          <w:color w:val="58595B"/>
        </w:rPr>
        <w:t>Food prices increased 0.2% in December</w:t>
      </w:r>
      <w:r w:rsidR="008E056D" w:rsidRPr="007C0CCA">
        <w:rPr>
          <w:color w:val="58595B"/>
        </w:rPr>
        <w:t>,</w:t>
      </w:r>
      <w:r w:rsidRPr="007C0CCA">
        <w:rPr>
          <w:color w:val="58595B"/>
        </w:rPr>
        <w:t xml:space="preserve"> while energy went </w:t>
      </w:r>
      <w:proofErr w:type="gramStart"/>
      <w:r w:rsidRPr="007C0CCA">
        <w:rPr>
          <w:color w:val="58595B"/>
        </w:rPr>
        <w:t>up</w:t>
      </w:r>
      <w:proofErr w:type="gramEnd"/>
      <w:r w:rsidRPr="007C0CCA">
        <w:rPr>
          <w:color w:val="58595B"/>
        </w:rPr>
        <w:t xml:space="preserve"> a hefty 2.7%. Durable goods prices -- which include big</w:t>
      </w:r>
      <w:r w:rsidR="00857CE9" w:rsidRPr="007C0CCA">
        <w:rPr>
          <w:color w:val="58595B"/>
        </w:rPr>
        <w:t>-</w:t>
      </w:r>
      <w:r w:rsidRPr="007C0CCA">
        <w:rPr>
          <w:color w:val="58595B"/>
        </w:rPr>
        <w:t xml:space="preserve">ticket items like appliances and electronics -- dropped 0.4% for the month while nondurables increased 0.5%. </w:t>
      </w:r>
    </w:p>
    <w:p w14:paraId="17FBB089" w14:textId="77777777" w:rsidR="00E9719E" w:rsidRPr="007C0CCA" w:rsidRDefault="00E9719E" w:rsidP="00E9719E">
      <w:pPr>
        <w:rPr>
          <w:color w:val="58595B"/>
        </w:rPr>
      </w:pPr>
    </w:p>
    <w:p w14:paraId="7A4D5894" w14:textId="77777777" w:rsidR="00E9719E" w:rsidRDefault="00E9719E" w:rsidP="00E9719E">
      <w:r w:rsidRPr="007C0CCA">
        <w:rPr>
          <w:color w:val="58595B"/>
        </w:rPr>
        <w:t>While inflation managed to come in as predicted, the rate remains stubbornly above the Fed's annual inflation target of 2%, which it hasn't seen since 2021. That's why it's no surprise that the Fed continues to move cautiously, keeping interest rates unchanged during its January meeting.</w:t>
      </w:r>
      <w:r>
        <w:t xml:space="preserve"> </w:t>
      </w:r>
      <w:hyperlink r:id="rId23" w:history="1">
        <w:r w:rsidRPr="00F35769">
          <w:rPr>
            <w:rStyle w:val="Hyperlink"/>
          </w:rPr>
          <w:t>Yahoo Finance</w:t>
        </w:r>
      </w:hyperlink>
    </w:p>
    <w:p w14:paraId="642DE185" w14:textId="77777777" w:rsidR="00E729B6" w:rsidRPr="00545D21" w:rsidRDefault="00E729B6" w:rsidP="00E729B6">
      <w:pPr>
        <w:rPr>
          <w:rFonts w:eastAsia="Avenir" w:cstheme="minorHAnsi"/>
        </w:rPr>
      </w:pPr>
    </w:p>
    <w:p w14:paraId="6559A5B9" w14:textId="559EF8D0"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 xml:space="preserve">This research material was prepared by </w:t>
      </w:r>
      <w:r w:rsidR="00C64F63">
        <w:rPr>
          <w:rFonts w:eastAsia="Avenir" w:cstheme="minorHAnsi"/>
          <w:color w:val="999999"/>
          <w:sz w:val="16"/>
          <w:szCs w:val="16"/>
        </w:rPr>
        <w:t>Burritt Research, Inc</w:t>
      </w:r>
      <w:r w:rsidRPr="000B3FB0">
        <w:rPr>
          <w:rFonts w:eastAsia="Avenir" w:cstheme="minorHAnsi"/>
          <w:color w:val="999999"/>
          <w:sz w:val="16"/>
          <w:szCs w:val="16"/>
        </w:rPr>
        <w:t>.</w:t>
      </w:r>
    </w:p>
    <w:p w14:paraId="6645C804" w14:textId="77777777" w:rsidR="00FE629C" w:rsidRPr="000B3FB0" w:rsidRDefault="00FE629C" w:rsidP="006F28A9">
      <w:pPr>
        <w:ind w:right="360"/>
        <w:rPr>
          <w:rFonts w:eastAsia="Avenir" w:cstheme="minorHAnsi"/>
          <w:color w:val="999999"/>
          <w:sz w:val="16"/>
          <w:szCs w:val="16"/>
        </w:rPr>
      </w:pPr>
    </w:p>
    <w:p w14:paraId="099737C6" w14:textId="77777777" w:rsidR="00B106D8" w:rsidRDefault="00B106D8" w:rsidP="00B106D8">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094364AD" w14:textId="77777777" w:rsidR="00B106D8" w:rsidRDefault="00B106D8" w:rsidP="00B106D8">
      <w:pPr>
        <w:ind w:right="360"/>
        <w:rPr>
          <w:rFonts w:ascii="Avenir" w:eastAsia="Avenir" w:hAnsi="Avenir" w:cs="Avenir"/>
          <w:b/>
          <w:color w:val="999999"/>
          <w:sz w:val="16"/>
          <w:szCs w:val="16"/>
        </w:rPr>
      </w:pPr>
    </w:p>
    <w:p w14:paraId="7979E7BB"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Default="00B106D8" w:rsidP="00B106D8">
      <w:pPr>
        <w:ind w:right="360"/>
        <w:rPr>
          <w:rFonts w:ascii="Avenir" w:eastAsia="Avenir" w:hAnsi="Avenir" w:cs="Avenir"/>
          <w:color w:val="999999"/>
          <w:sz w:val="16"/>
          <w:szCs w:val="16"/>
        </w:rPr>
      </w:pPr>
    </w:p>
    <w:p w14:paraId="4AAE2B8F" w14:textId="2DB04373"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Default="00B106D8" w:rsidP="00B106D8">
      <w:pPr>
        <w:ind w:right="360"/>
        <w:rPr>
          <w:rFonts w:ascii="Avenir" w:eastAsia="Avenir" w:hAnsi="Avenir" w:cs="Avenir"/>
          <w:color w:val="999999"/>
          <w:sz w:val="16"/>
          <w:szCs w:val="16"/>
        </w:rPr>
      </w:pPr>
    </w:p>
    <w:p w14:paraId="5D11A940"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Default="00B106D8" w:rsidP="00B106D8">
      <w:pPr>
        <w:ind w:right="360"/>
        <w:rPr>
          <w:rFonts w:ascii="Avenir" w:eastAsia="Avenir" w:hAnsi="Avenir" w:cs="Avenir"/>
          <w:color w:val="999999"/>
          <w:sz w:val="16"/>
          <w:szCs w:val="16"/>
        </w:rPr>
      </w:pPr>
    </w:p>
    <w:p w14:paraId="7A01E923" w14:textId="03889211"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Dow Jones Industrial Average (DJIA) is a price-weighted average of 30 actively traded </w:t>
      </w:r>
      <w:r w:rsidR="00E9719E">
        <w:rPr>
          <w:rFonts w:ascii="Avenir" w:eastAsia="Avenir" w:hAnsi="Avenir" w:cs="Avenir"/>
          <w:color w:val="999999"/>
          <w:sz w:val="16"/>
          <w:szCs w:val="16"/>
        </w:rPr>
        <w:t>"</w:t>
      </w:r>
      <w:r>
        <w:rPr>
          <w:rFonts w:ascii="Avenir" w:eastAsia="Avenir" w:hAnsi="Avenir" w:cs="Avenir"/>
          <w:color w:val="999999"/>
          <w:sz w:val="16"/>
          <w:szCs w:val="16"/>
        </w:rPr>
        <w:t>blue chip</w:t>
      </w:r>
      <w:r w:rsidR="00E9719E">
        <w:rPr>
          <w:rFonts w:ascii="Avenir" w:eastAsia="Avenir" w:hAnsi="Avenir" w:cs="Avenir"/>
          <w:color w:val="999999"/>
          <w:sz w:val="16"/>
          <w:szCs w:val="16"/>
        </w:rPr>
        <w:t>"</w:t>
      </w:r>
      <w:r>
        <w:rPr>
          <w:rFonts w:ascii="Avenir" w:eastAsia="Avenir" w:hAnsi="Avenir" w:cs="Avenir"/>
          <w:color w:val="999999"/>
          <w:sz w:val="16"/>
          <w:szCs w:val="16"/>
        </w:rPr>
        <w:t xml:space="preserve"> stocks, primarily industrials, but includes </w:t>
      </w:r>
      <w:proofErr w:type="gramStart"/>
      <w:r>
        <w:rPr>
          <w:rFonts w:ascii="Avenir" w:eastAsia="Avenir" w:hAnsi="Avenir" w:cs="Avenir"/>
          <w:color w:val="999999"/>
          <w:sz w:val="16"/>
          <w:szCs w:val="16"/>
        </w:rPr>
        <w:t>financials</w:t>
      </w:r>
      <w:proofErr w:type="gramEnd"/>
      <w:r>
        <w:rPr>
          <w:rFonts w:ascii="Avenir" w:eastAsia="Avenir" w:hAnsi="Avenir" w:cs="Avenir"/>
          <w:color w:val="999999"/>
          <w:sz w:val="16"/>
          <w:szCs w:val="16"/>
        </w:rPr>
        <w:t xml:space="preserve"> and </w:t>
      </w:r>
      <w:r>
        <w:rPr>
          <w:rFonts w:ascii="Avenir" w:eastAsia="Avenir" w:hAnsi="Avenir" w:cs="Avenir"/>
          <w:color w:val="999999"/>
          <w:sz w:val="16"/>
          <w:szCs w:val="16"/>
        </w:rPr>
        <w:lastRenderedPageBreak/>
        <w:t>other service-oriented companies. The components, which change from time to time, represent between 15% and 20% of the market value of NYSE stocks.</w:t>
      </w:r>
    </w:p>
    <w:p w14:paraId="3659DFF2" w14:textId="77777777" w:rsidR="00B106D8" w:rsidRDefault="00B106D8" w:rsidP="00B106D8">
      <w:pPr>
        <w:ind w:right="360"/>
        <w:rPr>
          <w:rFonts w:ascii="Avenir" w:eastAsia="Avenir" w:hAnsi="Avenir" w:cs="Avenir"/>
          <w:color w:val="999999"/>
          <w:sz w:val="16"/>
          <w:szCs w:val="16"/>
        </w:rPr>
      </w:pPr>
    </w:p>
    <w:p w14:paraId="30F1270C" w14:textId="3C13E34A"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Conference Board creates the Present Situation Index (PSI) from survey data of approximately 5000 households across the United States to gauge public opinion about the U</w:t>
      </w:r>
      <w:r w:rsidR="00E9719E">
        <w:rPr>
          <w:rFonts w:ascii="Avenir" w:eastAsia="Avenir" w:hAnsi="Avenir" w:cs="Avenir"/>
          <w:color w:val="999999"/>
          <w:sz w:val="16"/>
          <w:szCs w:val="16"/>
        </w:rPr>
        <w:t>S</w:t>
      </w:r>
      <w:r>
        <w:rPr>
          <w:rFonts w:ascii="Avenir" w:eastAsia="Avenir" w:hAnsi="Avenir" w:cs="Avenir"/>
          <w:color w:val="999999"/>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Default="00B106D8" w:rsidP="00B106D8">
      <w:pPr>
        <w:ind w:right="360"/>
        <w:rPr>
          <w:rFonts w:ascii="Avenir" w:eastAsia="Avenir" w:hAnsi="Avenir" w:cs="Avenir"/>
          <w:color w:val="999999"/>
          <w:sz w:val="16"/>
          <w:szCs w:val="16"/>
        </w:rPr>
      </w:pPr>
    </w:p>
    <w:p w14:paraId="2C6F803A" w14:textId="38C12ED9"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Expectations Index is a component of the Consumer Confidence Index® (CCI), which is published each month by the Conference Board. The CCI reflects consumers</w:t>
      </w:r>
      <w:r w:rsidR="00E9719E">
        <w:rPr>
          <w:rFonts w:ascii="Avenir" w:eastAsia="Avenir" w:hAnsi="Avenir" w:cs="Avenir"/>
          <w:color w:val="999999"/>
          <w:sz w:val="16"/>
          <w:szCs w:val="16"/>
        </w:rPr>
        <w:t>'</w:t>
      </w:r>
      <w:r>
        <w:rPr>
          <w:rFonts w:ascii="Avenir" w:eastAsia="Avenir" w:hAnsi="Avenir" w:cs="Avenir"/>
          <w:color w:val="999999"/>
          <w:sz w:val="16"/>
          <w:szCs w:val="16"/>
        </w:rPr>
        <w:t xml:space="preserve"> short-</w:t>
      </w:r>
      <w:proofErr w:type="gramStart"/>
      <w:r>
        <w:rPr>
          <w:rFonts w:ascii="Avenir" w:eastAsia="Avenir" w:hAnsi="Avenir" w:cs="Avenir"/>
          <w:color w:val="999999"/>
          <w:sz w:val="16"/>
          <w:szCs w:val="16"/>
        </w:rPr>
        <w:t>term—</w:t>
      </w:r>
      <w:proofErr w:type="gramEnd"/>
      <w:r>
        <w:rPr>
          <w:rFonts w:ascii="Avenir" w:eastAsia="Avenir" w:hAnsi="Avenir" w:cs="Avenir"/>
          <w:color w:val="999999"/>
          <w:sz w:val="16"/>
          <w:szCs w:val="16"/>
        </w:rPr>
        <w:t xml:space="preserve">that is, six-month—outlook for, and sentiment about, the performance of the overall economy as it </w:t>
      </w:r>
      <w:proofErr w:type="gramStart"/>
      <w:r>
        <w:rPr>
          <w:rFonts w:ascii="Avenir" w:eastAsia="Avenir" w:hAnsi="Avenir" w:cs="Avenir"/>
          <w:color w:val="999999"/>
          <w:sz w:val="16"/>
          <w:szCs w:val="16"/>
        </w:rPr>
        <w:t>effects</w:t>
      </w:r>
      <w:proofErr w:type="gramEnd"/>
      <w:r>
        <w:rPr>
          <w:rFonts w:ascii="Avenir" w:eastAsia="Avenir" w:hAnsi="Avenir" w:cs="Avenir"/>
          <w:color w:val="999999"/>
          <w:sz w:val="16"/>
          <w:szCs w:val="16"/>
        </w:rPr>
        <w:t xml:space="preserve"> them. The Expectations Index is made up of the average of the CCI components that deal with six-month outlooks for business, employment, and income.</w:t>
      </w:r>
    </w:p>
    <w:p w14:paraId="4C96F867" w14:textId="77777777" w:rsidR="00B106D8" w:rsidRDefault="00B106D8" w:rsidP="00B106D8">
      <w:pPr>
        <w:ind w:right="360"/>
        <w:rPr>
          <w:rFonts w:ascii="Avenir" w:eastAsia="Avenir" w:hAnsi="Avenir" w:cs="Avenir"/>
          <w:color w:val="999999"/>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Default="00FC7BD6" w:rsidP="00BF0243">
      <w:pPr>
        <w:widowControl/>
        <w:rPr>
          <w:rFonts w:cstheme="minorHAnsi"/>
          <w:color w:val="58595B"/>
          <w:sz w:val="16"/>
          <w:szCs w:val="16"/>
        </w:rPr>
      </w:pPr>
    </w:p>
    <w:p w14:paraId="4977CD48" w14:textId="77777777" w:rsidR="00142FBF" w:rsidRDefault="00142FBF" w:rsidP="00BF0243">
      <w:pPr>
        <w:widowControl/>
        <w:rPr>
          <w:rFonts w:cstheme="minorHAnsi"/>
          <w:color w:val="58595B"/>
          <w:sz w:val="16"/>
          <w:szCs w:val="16"/>
        </w:rPr>
      </w:pPr>
    </w:p>
    <w:p w14:paraId="07506C3D" w14:textId="77777777" w:rsidR="00142FBF" w:rsidRDefault="00142FBF" w:rsidP="00BF0243">
      <w:pPr>
        <w:widowControl/>
        <w:rPr>
          <w:rFonts w:cstheme="minorHAnsi"/>
          <w:color w:val="58595B"/>
          <w:sz w:val="16"/>
          <w:szCs w:val="16"/>
        </w:rPr>
      </w:pPr>
    </w:p>
    <w:p w14:paraId="61130F11" w14:textId="77777777" w:rsidR="00142FBF" w:rsidRDefault="00142FBF" w:rsidP="00BF0243">
      <w:pPr>
        <w:widowControl/>
        <w:rPr>
          <w:rFonts w:cstheme="minorHAnsi"/>
          <w:color w:val="58595B"/>
          <w:sz w:val="16"/>
          <w:szCs w:val="16"/>
        </w:rPr>
      </w:pPr>
    </w:p>
    <w:p w14:paraId="375CB763" w14:textId="77777777" w:rsidR="00142FBF" w:rsidRDefault="00142FBF" w:rsidP="00BF0243">
      <w:pPr>
        <w:widowControl/>
        <w:rPr>
          <w:rFonts w:cstheme="minorHAnsi"/>
          <w:color w:val="58595B"/>
          <w:sz w:val="16"/>
          <w:szCs w:val="16"/>
        </w:rPr>
      </w:pPr>
    </w:p>
    <w:p w14:paraId="04F8488E" w14:textId="77777777" w:rsidR="00142FBF" w:rsidRDefault="00142FBF" w:rsidP="00BF0243">
      <w:pPr>
        <w:widowControl/>
        <w:rPr>
          <w:rFonts w:cstheme="minorHAnsi"/>
          <w:color w:val="58595B"/>
          <w:sz w:val="16"/>
          <w:szCs w:val="16"/>
        </w:rPr>
      </w:pPr>
    </w:p>
    <w:p w14:paraId="6C24011B" w14:textId="77777777" w:rsidR="00142FBF" w:rsidRDefault="00142FBF" w:rsidP="00BF0243">
      <w:pPr>
        <w:widowControl/>
        <w:rPr>
          <w:rFonts w:cstheme="minorHAnsi"/>
          <w:color w:val="58595B"/>
          <w:sz w:val="16"/>
          <w:szCs w:val="16"/>
        </w:rPr>
      </w:pPr>
    </w:p>
    <w:p w14:paraId="30E94DCA" w14:textId="77777777" w:rsidR="00142FBF" w:rsidRDefault="00142FBF" w:rsidP="00BF0243">
      <w:pPr>
        <w:widowControl/>
        <w:rPr>
          <w:rFonts w:cstheme="minorHAnsi"/>
          <w:color w:val="58595B"/>
          <w:sz w:val="16"/>
          <w:szCs w:val="16"/>
        </w:rPr>
      </w:pPr>
    </w:p>
    <w:p w14:paraId="7890F22D" w14:textId="77777777" w:rsidR="00142FBF" w:rsidRDefault="00142FBF" w:rsidP="00BF0243">
      <w:pPr>
        <w:widowControl/>
        <w:rPr>
          <w:rFonts w:cstheme="minorHAnsi"/>
          <w:color w:val="58595B"/>
          <w:sz w:val="16"/>
          <w:szCs w:val="16"/>
        </w:rPr>
      </w:pPr>
    </w:p>
    <w:p w14:paraId="1AE89BB4" w14:textId="77777777" w:rsidR="00142FBF" w:rsidRDefault="00142FBF" w:rsidP="00BF0243">
      <w:pPr>
        <w:widowControl/>
        <w:rPr>
          <w:rFonts w:cstheme="minorHAnsi"/>
          <w:color w:val="58595B"/>
          <w:sz w:val="16"/>
          <w:szCs w:val="16"/>
        </w:rPr>
      </w:pPr>
    </w:p>
    <w:p w14:paraId="5C754237" w14:textId="77777777" w:rsidR="00142FBF" w:rsidRDefault="00142FBF" w:rsidP="00BF0243">
      <w:pPr>
        <w:widowControl/>
        <w:rPr>
          <w:rFonts w:cstheme="minorHAnsi"/>
          <w:color w:val="58595B"/>
          <w:sz w:val="16"/>
          <w:szCs w:val="16"/>
        </w:rPr>
      </w:pPr>
    </w:p>
    <w:p w14:paraId="7D661BCD" w14:textId="77777777" w:rsidR="00142FBF" w:rsidRPr="004D480C" w:rsidRDefault="00142FBF"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4B5ABAF7" w14:textId="77777777" w:rsidR="00C71FF6" w:rsidRDefault="00C71FF6"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19B0EA63" w14:textId="77777777" w:rsidR="004B5874" w:rsidRDefault="004B5874" w:rsidP="00BF0243">
      <w:pPr>
        <w:widowControl/>
        <w:rPr>
          <w:rFonts w:cstheme="minorHAnsi"/>
          <w:color w:val="58595B"/>
          <w:sz w:val="16"/>
          <w:szCs w:val="16"/>
        </w:rPr>
      </w:pPr>
    </w:p>
    <w:p w14:paraId="702B6F5B" w14:textId="77777777" w:rsidR="00142FBF" w:rsidRDefault="00142FBF" w:rsidP="00BF0243">
      <w:pPr>
        <w:widowControl/>
        <w:rPr>
          <w:rFonts w:cstheme="minorHAnsi"/>
          <w:color w:val="58595B"/>
          <w:sz w:val="16"/>
          <w:szCs w:val="16"/>
        </w:rPr>
      </w:pPr>
    </w:p>
    <w:p w14:paraId="5959F8D0" w14:textId="77777777" w:rsidR="00142FBF" w:rsidRDefault="00142FBF" w:rsidP="00BF0243">
      <w:pPr>
        <w:widowControl/>
        <w:rPr>
          <w:rFonts w:cstheme="minorHAnsi"/>
          <w:color w:val="58595B"/>
          <w:sz w:val="16"/>
          <w:szCs w:val="16"/>
        </w:rPr>
      </w:pPr>
    </w:p>
    <w:p w14:paraId="1D7CF6A3" w14:textId="77777777" w:rsidR="00142FBF" w:rsidRDefault="00142FBF" w:rsidP="00BF0243">
      <w:pPr>
        <w:widowControl/>
        <w:rPr>
          <w:rFonts w:cstheme="minorHAnsi"/>
          <w:color w:val="58595B"/>
          <w:sz w:val="16"/>
          <w:szCs w:val="16"/>
        </w:rPr>
      </w:pPr>
    </w:p>
    <w:p w14:paraId="6F7AC2D0" w14:textId="77777777" w:rsidR="00142FBF" w:rsidRDefault="00142FBF" w:rsidP="00BF0243">
      <w:pPr>
        <w:widowControl/>
        <w:rPr>
          <w:rFonts w:cstheme="minorHAnsi"/>
          <w:color w:val="58595B"/>
          <w:sz w:val="16"/>
          <w:szCs w:val="16"/>
        </w:rPr>
      </w:pPr>
    </w:p>
    <w:p w14:paraId="07A37276" w14:textId="77777777" w:rsidR="00142FBF" w:rsidRDefault="00142FBF" w:rsidP="00BF0243">
      <w:pPr>
        <w:widowControl/>
        <w:rPr>
          <w:rFonts w:cstheme="minorHAnsi"/>
          <w:color w:val="58595B"/>
          <w:sz w:val="16"/>
          <w:szCs w:val="16"/>
        </w:rPr>
      </w:pPr>
    </w:p>
    <w:p w14:paraId="1F80DDEF" w14:textId="77777777" w:rsidR="00CE5D33" w:rsidRDefault="00CE5D33" w:rsidP="00BF0243">
      <w:pPr>
        <w:widowControl/>
        <w:rPr>
          <w:rFonts w:cstheme="minorHAnsi"/>
          <w:color w:val="58595B"/>
          <w:sz w:val="16"/>
          <w:szCs w:val="16"/>
        </w:rPr>
      </w:pPr>
    </w:p>
    <w:p w14:paraId="5334336A" w14:textId="77777777" w:rsidR="00142FBF" w:rsidRDefault="00142FBF" w:rsidP="00BF0243">
      <w:pPr>
        <w:widowControl/>
        <w:rPr>
          <w:rFonts w:cstheme="minorHAnsi"/>
          <w:color w:val="58595B"/>
          <w:sz w:val="16"/>
          <w:szCs w:val="16"/>
        </w:rPr>
      </w:pPr>
    </w:p>
    <w:p w14:paraId="202C5420" w14:textId="77777777" w:rsidR="007C0CCA" w:rsidRPr="004D480C" w:rsidRDefault="007C0CCA"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35700FBF" w:rsidR="00834733" w:rsidRPr="007C0CCA" w:rsidRDefault="00486DA1" w:rsidP="00BF0243">
      <w:pPr>
        <w:widowControl/>
        <w:rPr>
          <w:rFonts w:cstheme="minorHAnsi"/>
          <w:color w:val="58595B"/>
          <w:sz w:val="16"/>
          <w:szCs w:val="16"/>
        </w:rPr>
      </w:pPr>
      <w:r w:rsidRPr="007C0CCA">
        <w:rPr>
          <w:rFonts w:cstheme="minorHAnsi"/>
          <w:color w:val="58595B"/>
          <w:sz w:val="16"/>
          <w:szCs w:val="16"/>
        </w:rPr>
        <w:t>©20</w:t>
      </w:r>
      <w:r w:rsidR="00834733" w:rsidRPr="007C0CCA">
        <w:rPr>
          <w:rFonts w:cstheme="minorHAnsi"/>
          <w:color w:val="58595B"/>
          <w:sz w:val="16"/>
          <w:szCs w:val="16"/>
        </w:rPr>
        <w:t>2</w:t>
      </w:r>
      <w:r w:rsidR="001C3947" w:rsidRPr="007C0CCA">
        <w:rPr>
          <w:rFonts w:cstheme="minorHAnsi"/>
          <w:color w:val="58595B"/>
          <w:sz w:val="16"/>
          <w:szCs w:val="16"/>
        </w:rPr>
        <w:t>5</w:t>
      </w:r>
      <w:r w:rsidRPr="007C0CCA">
        <w:rPr>
          <w:rFonts w:cstheme="minorHAnsi"/>
          <w:color w:val="58595B"/>
          <w:sz w:val="16"/>
          <w:szCs w:val="16"/>
        </w:rPr>
        <w:t xml:space="preserve"> Wealthcare Capital Management LLC</w:t>
      </w:r>
      <w:r w:rsidR="00970261" w:rsidRPr="007C0CCA">
        <w:rPr>
          <w:rFonts w:cstheme="minorHAnsi"/>
          <w:color w:val="58595B"/>
          <w:sz w:val="16"/>
          <w:szCs w:val="16"/>
        </w:rPr>
        <w:t>,</w:t>
      </w:r>
      <w:r w:rsidR="00E249E2" w:rsidRPr="007C0CCA">
        <w:rPr>
          <w:rFonts w:cstheme="minorHAnsi"/>
          <w:color w:val="58595B"/>
          <w:sz w:val="16"/>
          <w:szCs w:val="16"/>
        </w:rPr>
        <w:t xml:space="preserve"> Wealthcare Advisory Partners LLC</w:t>
      </w:r>
      <w:r w:rsidR="00970261" w:rsidRPr="007C0CCA">
        <w:rPr>
          <w:rFonts w:cstheme="minorHAnsi"/>
          <w:color w:val="58595B"/>
          <w:sz w:val="16"/>
          <w:szCs w:val="16"/>
        </w:rPr>
        <w:t xml:space="preserve">, and Wealthcare </w:t>
      </w:r>
      <w:r w:rsidR="00462D29" w:rsidRPr="007C0CCA">
        <w:rPr>
          <w:rFonts w:cstheme="minorHAnsi"/>
          <w:color w:val="58595B"/>
          <w:sz w:val="16"/>
          <w:szCs w:val="16"/>
        </w:rPr>
        <w:t>Capital Partners LLC</w:t>
      </w:r>
      <w:r w:rsidR="00E249E2" w:rsidRPr="007C0CCA">
        <w:rPr>
          <w:rFonts w:cstheme="minorHAnsi"/>
          <w:color w:val="58595B"/>
          <w:sz w:val="16"/>
          <w:szCs w:val="16"/>
        </w:rPr>
        <w:t xml:space="preserve"> </w:t>
      </w:r>
      <w:r w:rsidRPr="007C0CCA">
        <w:rPr>
          <w:rFonts w:cstheme="minorHAnsi"/>
          <w:color w:val="58595B"/>
          <w:sz w:val="16"/>
          <w:szCs w:val="16"/>
        </w:rPr>
        <w:t>(</w:t>
      </w:r>
      <w:r w:rsidR="00E15CC8" w:rsidRPr="007C0CCA">
        <w:rPr>
          <w:rFonts w:cstheme="minorHAnsi"/>
          <w:color w:val="58595B"/>
          <w:sz w:val="16"/>
          <w:szCs w:val="16"/>
        </w:rPr>
        <w:t>"</w:t>
      </w:r>
      <w:r w:rsidRPr="007C0CCA">
        <w:rPr>
          <w:rFonts w:cstheme="minorHAnsi"/>
          <w:color w:val="58595B"/>
          <w:sz w:val="16"/>
          <w:szCs w:val="16"/>
        </w:rPr>
        <w:t>Wealthcare</w:t>
      </w:r>
      <w:r w:rsidR="00E15CC8" w:rsidRPr="007C0CCA">
        <w:rPr>
          <w:rFonts w:cstheme="minorHAnsi"/>
          <w:color w:val="58595B"/>
          <w:sz w:val="16"/>
          <w:szCs w:val="16"/>
        </w:rPr>
        <w:t>"</w:t>
      </w:r>
      <w:r w:rsidRPr="007C0CCA">
        <w:rPr>
          <w:rFonts w:cstheme="minorHAnsi"/>
          <w:color w:val="58595B"/>
          <w:sz w:val="16"/>
          <w:szCs w:val="16"/>
        </w:rPr>
        <w:t>) is a registered investment advisor with the U</w:t>
      </w:r>
      <w:r w:rsidR="00E9719E" w:rsidRPr="007C0CCA">
        <w:rPr>
          <w:rFonts w:cstheme="minorHAnsi"/>
          <w:color w:val="58595B"/>
          <w:sz w:val="16"/>
          <w:szCs w:val="16"/>
        </w:rPr>
        <w:t>S</w:t>
      </w:r>
      <w:r w:rsidRPr="007C0CCA">
        <w:rPr>
          <w:rFonts w:cstheme="minorHAnsi"/>
          <w:color w:val="58595B"/>
          <w:sz w:val="16"/>
          <w:szCs w:val="16"/>
        </w:rPr>
        <w:t xml:space="preserve"> Securities and Exchange Commission (SEC) under the Investment Advisors Act of 1940.  All Rights Reserved.  </w:t>
      </w:r>
    </w:p>
    <w:p w14:paraId="3545E6AC" w14:textId="77777777" w:rsidR="00FB63C1" w:rsidRPr="007C0CCA" w:rsidRDefault="00FB63C1" w:rsidP="00524C3C">
      <w:pPr>
        <w:widowControl/>
        <w:spacing w:line="120" w:lineRule="auto"/>
        <w:rPr>
          <w:rFonts w:cstheme="minorHAnsi"/>
          <w:color w:val="58595B"/>
          <w:sz w:val="16"/>
          <w:szCs w:val="16"/>
        </w:rPr>
      </w:pPr>
    </w:p>
    <w:p w14:paraId="48BBA534" w14:textId="7EFF1581" w:rsidR="00834733" w:rsidRPr="007C0CCA" w:rsidRDefault="00486DA1" w:rsidP="00BF0243">
      <w:pPr>
        <w:pStyle w:val="BodyText"/>
        <w:widowControl/>
        <w:ind w:left="0"/>
        <w:rPr>
          <w:rFonts w:asciiTheme="minorHAnsi" w:eastAsiaTheme="minorEastAsia" w:hAnsiTheme="minorHAnsi" w:cstheme="minorHAnsi"/>
          <w:color w:val="58595B"/>
          <w:sz w:val="16"/>
          <w:szCs w:val="16"/>
        </w:rPr>
      </w:pPr>
      <w:r w:rsidRPr="007C0CCA">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7C0CCA"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7C0CCA" w:rsidRDefault="00486DA1" w:rsidP="00BF0243">
      <w:pPr>
        <w:widowControl/>
        <w:rPr>
          <w:rFonts w:eastAsiaTheme="minorEastAsia" w:cstheme="minorHAnsi"/>
          <w:color w:val="58595B"/>
          <w:sz w:val="16"/>
          <w:szCs w:val="16"/>
        </w:rPr>
      </w:pPr>
      <w:r w:rsidRPr="007C0CCA">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7C0CCA">
        <w:rPr>
          <w:rFonts w:eastAsiaTheme="minorEastAsia" w:cstheme="minorHAnsi"/>
          <w:iCs/>
          <w:color w:val="58595B"/>
          <w:sz w:val="16"/>
          <w:szCs w:val="16"/>
        </w:rPr>
        <w:t xml:space="preserve">or guarantee a client will in all </w:t>
      </w:r>
      <w:r w:rsidRPr="007C0CCA">
        <w:rPr>
          <w:rFonts w:eastAsiaTheme="minorEastAsia" w:cstheme="minorHAnsi"/>
          <w:color w:val="58595B"/>
          <w:sz w:val="16"/>
          <w:szCs w:val="16"/>
        </w:rPr>
        <w:t>circumstances of changing personal financial goals and market conditions be able to remain in a client's Wealthcare Plan Comfort Zone®.</w:t>
      </w:r>
      <w:r w:rsidRPr="007C0CCA">
        <w:rPr>
          <w:rFonts w:eastAsiaTheme="minorEastAsia" w:cstheme="minorHAnsi"/>
          <w:i/>
          <w:iCs/>
          <w:color w:val="58595B"/>
          <w:sz w:val="16"/>
          <w:szCs w:val="16"/>
        </w:rPr>
        <w:t xml:space="preserve"> </w:t>
      </w:r>
      <w:r w:rsidRPr="007C0CCA">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7C0CCA">
        <w:rPr>
          <w:rFonts w:eastAsiaTheme="minorEastAsia" w:cstheme="minorHAnsi"/>
          <w:color w:val="58595B"/>
          <w:sz w:val="16"/>
          <w:szCs w:val="16"/>
        </w:rPr>
        <w:t>period of time</w:t>
      </w:r>
      <w:proofErr w:type="gramEnd"/>
      <w:r w:rsidRPr="007C0CCA">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30366F5E">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88BA" w14:textId="77777777" w:rsidR="00034361" w:rsidRDefault="00034361">
      <w:r>
        <w:separator/>
      </w:r>
    </w:p>
  </w:endnote>
  <w:endnote w:type="continuationSeparator" w:id="0">
    <w:p w14:paraId="1FE1F485" w14:textId="77777777" w:rsidR="00034361" w:rsidRDefault="00034361">
      <w:r>
        <w:continuationSeparator/>
      </w:r>
    </w:p>
  </w:endnote>
  <w:endnote w:type="continuationNotice" w:id="1">
    <w:p w14:paraId="33BA6B72" w14:textId="77777777" w:rsidR="00034361" w:rsidRDefault="0003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0E9A" w14:textId="77777777" w:rsidR="00034361" w:rsidRDefault="00034361">
      <w:r>
        <w:separator/>
      </w:r>
    </w:p>
  </w:footnote>
  <w:footnote w:type="continuationSeparator" w:id="0">
    <w:p w14:paraId="3B9108C8" w14:textId="77777777" w:rsidR="00034361" w:rsidRDefault="00034361">
      <w:r>
        <w:continuationSeparator/>
      </w:r>
    </w:p>
  </w:footnote>
  <w:footnote w:type="continuationNotice" w:id="1">
    <w:p w14:paraId="267036FD" w14:textId="77777777" w:rsidR="00034361" w:rsidRDefault="00034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akFAO4LHoUtAAAA"/>
  </w:docVars>
  <w:rsids>
    <w:rsidRoot w:val="00310271"/>
    <w:rsid w:val="000036B2"/>
    <w:rsid w:val="000071F9"/>
    <w:rsid w:val="000146B5"/>
    <w:rsid w:val="0002356D"/>
    <w:rsid w:val="00025049"/>
    <w:rsid w:val="000251DB"/>
    <w:rsid w:val="00026505"/>
    <w:rsid w:val="00027D08"/>
    <w:rsid w:val="00034361"/>
    <w:rsid w:val="00040C3C"/>
    <w:rsid w:val="000507C5"/>
    <w:rsid w:val="000536AB"/>
    <w:rsid w:val="00056B71"/>
    <w:rsid w:val="00056C5F"/>
    <w:rsid w:val="0006031A"/>
    <w:rsid w:val="00060559"/>
    <w:rsid w:val="00060862"/>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2FBF"/>
    <w:rsid w:val="001470E4"/>
    <w:rsid w:val="001532A5"/>
    <w:rsid w:val="001534A4"/>
    <w:rsid w:val="001537A4"/>
    <w:rsid w:val="00153F4A"/>
    <w:rsid w:val="00161B54"/>
    <w:rsid w:val="00162118"/>
    <w:rsid w:val="0017091A"/>
    <w:rsid w:val="0017149B"/>
    <w:rsid w:val="001744D6"/>
    <w:rsid w:val="001751D9"/>
    <w:rsid w:val="00175C9D"/>
    <w:rsid w:val="0018292B"/>
    <w:rsid w:val="00183C38"/>
    <w:rsid w:val="00187E21"/>
    <w:rsid w:val="001929E9"/>
    <w:rsid w:val="00194883"/>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582C"/>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245"/>
    <w:rsid w:val="003C70C1"/>
    <w:rsid w:val="003C7B91"/>
    <w:rsid w:val="003D13A4"/>
    <w:rsid w:val="003D1C40"/>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21AC"/>
    <w:rsid w:val="004B5874"/>
    <w:rsid w:val="004B7F15"/>
    <w:rsid w:val="004C00AC"/>
    <w:rsid w:val="004C0269"/>
    <w:rsid w:val="004C36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84BAA"/>
    <w:rsid w:val="00593C4C"/>
    <w:rsid w:val="005971D3"/>
    <w:rsid w:val="00597589"/>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A9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81E99"/>
    <w:rsid w:val="0068201F"/>
    <w:rsid w:val="00682DD2"/>
    <w:rsid w:val="00683FAC"/>
    <w:rsid w:val="00686641"/>
    <w:rsid w:val="006918CC"/>
    <w:rsid w:val="0069522A"/>
    <w:rsid w:val="00695F42"/>
    <w:rsid w:val="006967BB"/>
    <w:rsid w:val="006B76C3"/>
    <w:rsid w:val="006C1374"/>
    <w:rsid w:val="006D0717"/>
    <w:rsid w:val="006D3705"/>
    <w:rsid w:val="006D6852"/>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5170"/>
    <w:rsid w:val="007B59A5"/>
    <w:rsid w:val="007B7745"/>
    <w:rsid w:val="007C0CCA"/>
    <w:rsid w:val="007C0D49"/>
    <w:rsid w:val="007C2D9B"/>
    <w:rsid w:val="007C344D"/>
    <w:rsid w:val="007C3925"/>
    <w:rsid w:val="007C4B80"/>
    <w:rsid w:val="007C7524"/>
    <w:rsid w:val="007D450B"/>
    <w:rsid w:val="007D564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57CE9"/>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1AC2"/>
    <w:rsid w:val="008D35C8"/>
    <w:rsid w:val="008D5D78"/>
    <w:rsid w:val="008D741D"/>
    <w:rsid w:val="008E01C4"/>
    <w:rsid w:val="008E056D"/>
    <w:rsid w:val="008E5DE9"/>
    <w:rsid w:val="008F12F3"/>
    <w:rsid w:val="0090011F"/>
    <w:rsid w:val="00900651"/>
    <w:rsid w:val="009015F6"/>
    <w:rsid w:val="00907CEA"/>
    <w:rsid w:val="009110A4"/>
    <w:rsid w:val="00914AFF"/>
    <w:rsid w:val="009176C8"/>
    <w:rsid w:val="009200A3"/>
    <w:rsid w:val="00920389"/>
    <w:rsid w:val="009227B3"/>
    <w:rsid w:val="00922E9D"/>
    <w:rsid w:val="00923A8D"/>
    <w:rsid w:val="009329CD"/>
    <w:rsid w:val="00932BC4"/>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114D"/>
    <w:rsid w:val="009E274F"/>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56914"/>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1DF7"/>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5D33"/>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09B8"/>
    <w:rsid w:val="00D922F6"/>
    <w:rsid w:val="00D96987"/>
    <w:rsid w:val="00DA3544"/>
    <w:rsid w:val="00DA423D"/>
    <w:rsid w:val="00DA514C"/>
    <w:rsid w:val="00DA667C"/>
    <w:rsid w:val="00DA7301"/>
    <w:rsid w:val="00DB136E"/>
    <w:rsid w:val="00DB3D33"/>
    <w:rsid w:val="00DB4FE6"/>
    <w:rsid w:val="00DC061F"/>
    <w:rsid w:val="00DC39C5"/>
    <w:rsid w:val="00DC3EF3"/>
    <w:rsid w:val="00DC493E"/>
    <w:rsid w:val="00DC63C0"/>
    <w:rsid w:val="00DD3B32"/>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4127A"/>
    <w:rsid w:val="00E41CB0"/>
    <w:rsid w:val="00E42C8D"/>
    <w:rsid w:val="00E4354E"/>
    <w:rsid w:val="00E43D28"/>
    <w:rsid w:val="00E45703"/>
    <w:rsid w:val="00E463D4"/>
    <w:rsid w:val="00E50BC4"/>
    <w:rsid w:val="00E5192E"/>
    <w:rsid w:val="00E54EC0"/>
    <w:rsid w:val="00E729B6"/>
    <w:rsid w:val="00E73B5F"/>
    <w:rsid w:val="00E761F7"/>
    <w:rsid w:val="00E829DC"/>
    <w:rsid w:val="00E82D3C"/>
    <w:rsid w:val="00E83506"/>
    <w:rsid w:val="00E85CF7"/>
    <w:rsid w:val="00E90502"/>
    <w:rsid w:val="00E91598"/>
    <w:rsid w:val="00E96DD1"/>
    <w:rsid w:val="00E9719E"/>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1160"/>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57CE"/>
    <w:rsid w:val="00FA6742"/>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01/30/gdp-q4-2024-.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inance.yahoo.com/news/pce-feds-preferred-inflation-gauge-meets-expectations-in-december-133646294.html"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r.realtor/newsroom/existing-home-sales-ascended-2-2-in-december"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8095</Characters>
  <Application>Microsoft Office Word</Application>
  <DocSecurity>0</DocSecurity>
  <Lines>158</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cp:revision>
  <cp:lastPrinted>2025-01-03T19:49:00Z</cp:lastPrinted>
  <dcterms:created xsi:type="dcterms:W3CDTF">2025-02-04T15:40:00Z</dcterms:created>
  <dcterms:modified xsi:type="dcterms:W3CDTF">2025-02-04T15:40:00Z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