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493792D3" w:rsidR="00730139" w:rsidRPr="000A77AA" w:rsidRDefault="00C51AFD" w:rsidP="0086174A">
      <w:pPr>
        <w:ind w:firstLine="720"/>
        <w:rPr>
          <w:rFonts w:cstheme="minorHAnsi"/>
          <w:color w:val="58595B"/>
          <w:spacing w:val="-5"/>
          <w:sz w:val="20"/>
          <w:szCs w:val="20"/>
        </w:rPr>
      </w:pPr>
      <w:r>
        <w:rPr>
          <w:rFonts w:cstheme="minorHAnsi"/>
          <w:b/>
          <w:color w:val="005EA4"/>
          <w:sz w:val="28"/>
          <w:szCs w:val="28"/>
        </w:rPr>
        <w:t>Second</w:t>
      </w:r>
      <w:r w:rsidR="00A35BBB">
        <w:rPr>
          <w:rFonts w:cstheme="minorHAnsi"/>
          <w:b/>
          <w:color w:val="005EA4"/>
          <w:sz w:val="28"/>
          <w:szCs w:val="28"/>
        </w:rPr>
        <w:t xml:space="preserve"> </w:t>
      </w:r>
      <w:r w:rsidR="00A35BBB" w:rsidRPr="000A77AA">
        <w:rPr>
          <w:rFonts w:cstheme="minorHAnsi"/>
          <w:b/>
          <w:color w:val="005EA4"/>
          <w:sz w:val="28"/>
          <w:szCs w:val="28"/>
        </w:rPr>
        <w:t>Quarter 202</w:t>
      </w:r>
      <w:r w:rsidR="00CF6316">
        <w:rPr>
          <w:rFonts w:cstheme="minorHAnsi"/>
          <w:b/>
          <w:color w:val="005EA4"/>
          <w:sz w:val="28"/>
          <w:szCs w:val="28"/>
        </w:rPr>
        <w:t>5</w:t>
      </w:r>
      <w:r w:rsidR="00A35BBB">
        <w:rPr>
          <w:rFonts w:cstheme="minorHAnsi"/>
          <w:b/>
          <w:color w:val="005EA4"/>
          <w:sz w:val="28"/>
          <w:szCs w:val="28"/>
        </w:rPr>
        <w:t>:</w:t>
      </w:r>
      <w:r w:rsidR="00A35BBB" w:rsidRPr="000A77AA">
        <w:rPr>
          <w:rFonts w:cstheme="minorHAnsi"/>
          <w:b/>
          <w:color w:val="005EA4"/>
          <w:sz w:val="28"/>
          <w:szCs w:val="28"/>
        </w:rPr>
        <w:t xml:space="preserve"> Quarterly 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586D2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rsidSect="00586D21">
          <w:type w:val="continuous"/>
          <w:pgSz w:w="12240" w:h="15840"/>
          <w:pgMar w:top="0" w:right="0" w:bottom="0" w:left="0" w:header="720" w:footer="720" w:gutter="0"/>
          <w:cols w:space="720"/>
        </w:sectPr>
      </w:pPr>
    </w:p>
    <w:p w14:paraId="7015BA81" w14:textId="77777777" w:rsidR="00741BF1" w:rsidRPr="0080222E" w:rsidRDefault="00741BF1" w:rsidP="0088471B">
      <w:pPr>
        <w:pStyle w:val="BodyText"/>
        <w:tabs>
          <w:tab w:val="left" w:pos="12240"/>
        </w:tabs>
        <w:ind w:left="0"/>
        <w:rPr>
          <w:rFonts w:asciiTheme="minorHAnsi" w:eastAsiaTheme="minorEastAsia" w:hAnsiTheme="minorHAnsi"/>
          <w:sz w:val="36"/>
          <w:szCs w:val="36"/>
        </w:rPr>
      </w:pPr>
    </w:p>
    <w:p w14:paraId="0B716436" w14:textId="180E263A" w:rsidR="008B41AC" w:rsidRPr="00385FFB" w:rsidRDefault="008B41AC" w:rsidP="008B41AC">
      <w:pPr>
        <w:rPr>
          <w:rFonts w:ascii="Calibri" w:hAnsi="Calibri" w:cs="Calibri"/>
          <w:color w:val="58595B"/>
        </w:rPr>
      </w:pPr>
      <w:r w:rsidRPr="00385FFB">
        <w:rPr>
          <w:rFonts w:ascii="Calibri" w:hAnsi="Calibri" w:cs="Calibri"/>
          <w:color w:val="58595B"/>
        </w:rPr>
        <w:t>During the 2nd quarter of 2025</w:t>
      </w:r>
      <w:r w:rsidR="005555B4">
        <w:rPr>
          <w:rFonts w:ascii="Calibri" w:hAnsi="Calibri" w:cs="Calibri"/>
          <w:color w:val="58595B"/>
        </w:rPr>
        <w:t>,</w:t>
      </w:r>
      <w:r w:rsidRPr="00385FFB">
        <w:rPr>
          <w:rFonts w:ascii="Calibri" w:hAnsi="Calibri" w:cs="Calibri"/>
          <w:color w:val="58595B"/>
        </w:rPr>
        <w:t xml:space="preserve"> the news cycle was fast and furious. Following Liberation Day, volatility exploded, and a 20% drawdown ensued under the premise that tariffs would result in higher inflation and lower corporate earnings. The Federal Reserve kept interest rates unchanged due to the expected inflationary pressures from these tariffs and anticipated deportations. To close out the turbulent quarter, we witnessed US forces bomb Iran, and if that was not enough, a Socialist won the primary in the NYC mayoral election. Despite these challenging events, both the stock and bond markets climbed this </w:t>
      </w:r>
      <w:r w:rsidR="00B50417">
        <w:rPr>
          <w:rFonts w:ascii="Calibri" w:hAnsi="Calibri" w:cs="Calibri"/>
          <w:color w:val="58595B"/>
        </w:rPr>
        <w:t>"</w:t>
      </w:r>
      <w:r w:rsidRPr="00385FFB">
        <w:rPr>
          <w:rFonts w:ascii="Calibri" w:hAnsi="Calibri" w:cs="Calibri"/>
          <w:color w:val="58595B"/>
        </w:rPr>
        <w:t>wall of worry</w:t>
      </w:r>
      <w:r w:rsidR="00B50417">
        <w:rPr>
          <w:rFonts w:ascii="Calibri" w:hAnsi="Calibri" w:cs="Calibri"/>
          <w:color w:val="58595B"/>
        </w:rPr>
        <w:t>"</w:t>
      </w:r>
      <w:r w:rsidRPr="00385FFB">
        <w:rPr>
          <w:rFonts w:ascii="Calibri" w:hAnsi="Calibri" w:cs="Calibri"/>
          <w:color w:val="58595B"/>
        </w:rPr>
        <w:t xml:space="preserve"> with </w:t>
      </w:r>
      <w:proofErr w:type="gramStart"/>
      <w:r w:rsidRPr="00385FFB">
        <w:rPr>
          <w:rFonts w:ascii="Calibri" w:hAnsi="Calibri" w:cs="Calibri"/>
          <w:color w:val="58595B"/>
        </w:rPr>
        <w:t>the Russell</w:t>
      </w:r>
      <w:proofErr w:type="gramEnd"/>
      <w:r w:rsidRPr="00385FFB">
        <w:rPr>
          <w:rFonts w:ascii="Calibri" w:hAnsi="Calibri" w:cs="Calibri"/>
          <w:color w:val="58595B"/>
        </w:rPr>
        <w:t xml:space="preserve"> 3000 up 11.0% and the bond market up 1.2% for the quarter. In times like these, it is wise to remind ourselves to focus on what we can control.</w:t>
      </w:r>
    </w:p>
    <w:p w14:paraId="181E331A" w14:textId="77777777" w:rsidR="008B41AC" w:rsidRPr="00385FFB" w:rsidRDefault="008B41AC" w:rsidP="008B41AC">
      <w:pPr>
        <w:rPr>
          <w:rFonts w:ascii="Calibri" w:hAnsi="Calibri" w:cs="Calibri"/>
          <w:color w:val="58595B"/>
        </w:rPr>
      </w:pPr>
    </w:p>
    <w:p w14:paraId="599B2ADC" w14:textId="165797D2" w:rsidR="008B41AC" w:rsidRPr="00385FFB" w:rsidRDefault="008B41AC" w:rsidP="008B41AC">
      <w:pPr>
        <w:rPr>
          <w:rFonts w:ascii="Calibri" w:hAnsi="Calibri" w:cs="Calibri"/>
          <w:color w:val="58595B"/>
        </w:rPr>
      </w:pPr>
      <w:r w:rsidRPr="00385FFB">
        <w:rPr>
          <w:rFonts w:ascii="Calibri" w:hAnsi="Calibri" w:cs="Calibri"/>
          <w:color w:val="58595B"/>
        </w:rPr>
        <w:t xml:space="preserve">As you can see from the graphic, certain elements are categorized as OUT OF MY CONTROL (elections, inflation, interest rates). Others are classified as IN MY CONTROL (media consumption, saving, behavior, portfolio, taxes and fees). As investors, we are better off focusing on </w:t>
      </w:r>
      <w:r w:rsidRPr="00385FFB">
        <w:rPr>
          <w:rFonts w:ascii="Calibri" w:hAnsi="Calibri" w:cs="Calibri"/>
          <w:i/>
          <w:iCs/>
          <w:color w:val="58595B"/>
        </w:rPr>
        <w:t>controlling the controllables</w:t>
      </w:r>
      <w:r w:rsidRPr="00385FFB">
        <w:rPr>
          <w:rFonts w:ascii="Calibri" w:hAnsi="Calibri" w:cs="Calibri"/>
          <w:color w:val="58595B"/>
        </w:rPr>
        <w:t xml:space="preserve">. Controllables are within your power to influence and provide a foundation from which you can build a more robust and resilient investment strategy. We highlight each of the items under </w:t>
      </w:r>
      <w:r w:rsidR="00B50417">
        <w:rPr>
          <w:rFonts w:ascii="Calibri" w:hAnsi="Calibri" w:cs="Calibri"/>
          <w:color w:val="58595B"/>
        </w:rPr>
        <w:t>"</w:t>
      </w:r>
      <w:r w:rsidRPr="00385FFB">
        <w:rPr>
          <w:rFonts w:ascii="Calibri" w:hAnsi="Calibri" w:cs="Calibri"/>
          <w:color w:val="58595B"/>
        </w:rPr>
        <w:t>IN MY CONTROL</w:t>
      </w:r>
      <w:r w:rsidR="00B50417">
        <w:rPr>
          <w:rFonts w:ascii="Calibri" w:hAnsi="Calibri" w:cs="Calibri"/>
          <w:color w:val="58595B"/>
        </w:rPr>
        <w:t>"</w:t>
      </w:r>
      <w:r w:rsidRPr="00385FFB">
        <w:rPr>
          <w:rFonts w:ascii="Calibri" w:hAnsi="Calibri" w:cs="Calibri"/>
          <w:color w:val="58595B"/>
        </w:rPr>
        <w:t xml:space="preserve"> below. </w:t>
      </w:r>
      <w:r w:rsidRPr="00385FFB">
        <w:rPr>
          <w:noProof/>
          <w:color w:val="58595B"/>
        </w:rPr>
        <w:drawing>
          <wp:anchor distT="0" distB="0" distL="114300" distR="114300" simplePos="0" relativeHeight="251668480" behindDoc="0" locked="0" layoutInCell="1" allowOverlap="1" wp14:anchorId="08415E24" wp14:editId="4EC52D3F">
            <wp:simplePos x="0" y="0"/>
            <wp:positionH relativeFrom="column">
              <wp:align>left</wp:align>
            </wp:positionH>
            <wp:positionV relativeFrom="paragraph">
              <wp:posOffset>0</wp:posOffset>
            </wp:positionV>
            <wp:extent cx="1580626" cy="1313428"/>
            <wp:effectExtent l="0" t="0" r="0" b="0"/>
            <wp:wrapSquare wrapText="bothSides"/>
            <wp:docPr id="1812232864" name="Picture 2" descr="A puzzle pieces in a head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80626" cy="1313428"/>
                    </a:xfrm>
                    <a:prstGeom prst="rect">
                      <a:avLst/>
                    </a:prstGeom>
                    <a:noFill/>
                  </pic:spPr>
                </pic:pic>
              </a:graphicData>
            </a:graphic>
            <wp14:sizeRelH relativeFrom="page">
              <wp14:pctWidth>0</wp14:pctWidth>
            </wp14:sizeRelH>
            <wp14:sizeRelV relativeFrom="page">
              <wp14:pctHeight>0</wp14:pctHeight>
            </wp14:sizeRelV>
          </wp:anchor>
        </w:drawing>
      </w:r>
    </w:p>
    <w:p w14:paraId="30C81F87" w14:textId="77777777" w:rsidR="008B41AC" w:rsidRPr="00385FFB" w:rsidRDefault="008B41AC" w:rsidP="008B41AC">
      <w:pPr>
        <w:rPr>
          <w:rFonts w:ascii="Calibri" w:hAnsi="Calibri" w:cs="Calibri"/>
          <w:b/>
          <w:bCs/>
          <w:color w:val="58595B"/>
        </w:rPr>
      </w:pPr>
    </w:p>
    <w:p w14:paraId="419FF50A" w14:textId="77777777" w:rsidR="00385FFB" w:rsidRPr="00385FFB" w:rsidRDefault="00385FFB" w:rsidP="008B41AC">
      <w:pPr>
        <w:rPr>
          <w:rFonts w:ascii="Calibri" w:hAnsi="Calibri" w:cs="Calibri"/>
          <w:b/>
          <w:bCs/>
          <w:color w:val="58595B"/>
        </w:rPr>
      </w:pPr>
    </w:p>
    <w:p w14:paraId="086E3D36" w14:textId="18BD7F77" w:rsidR="008B41AC" w:rsidRPr="00385FFB" w:rsidRDefault="008B41AC" w:rsidP="008B41AC">
      <w:pPr>
        <w:rPr>
          <w:rStyle w:val="css-1jxf684"/>
          <w:rFonts w:ascii="Calibri" w:hAnsi="Calibri" w:cs="Calibri"/>
          <w:color w:val="58595B"/>
        </w:rPr>
      </w:pPr>
      <w:r w:rsidRPr="00385FFB">
        <w:rPr>
          <w:rFonts w:ascii="Calibri" w:hAnsi="Calibri" w:cs="Calibri"/>
          <w:b/>
          <w:bCs/>
          <w:color w:val="58595B"/>
        </w:rPr>
        <w:t>Media Consumption:</w:t>
      </w:r>
      <w:r w:rsidRPr="00385FFB">
        <w:rPr>
          <w:rFonts w:ascii="Calibri" w:hAnsi="Calibri" w:cs="Calibri"/>
          <w:color w:val="58595B"/>
        </w:rPr>
        <w:t xml:space="preserve"> We should be cautious about relying on the media to provide sound unbiased investment advice. The media</w:t>
      </w:r>
      <w:r w:rsidR="00B50417">
        <w:rPr>
          <w:rFonts w:ascii="Calibri" w:hAnsi="Calibri" w:cs="Calibri"/>
          <w:color w:val="58595B"/>
        </w:rPr>
        <w:t>'</w:t>
      </w:r>
      <w:r w:rsidRPr="00385FFB">
        <w:rPr>
          <w:rFonts w:ascii="Calibri" w:hAnsi="Calibri" w:cs="Calibri"/>
          <w:color w:val="58595B"/>
        </w:rPr>
        <w:t>s business model is to maximize views and clicks. However, when we inevitably fall pr</w:t>
      </w:r>
      <w:r w:rsidR="00C279B0">
        <w:rPr>
          <w:rFonts w:ascii="Calibri" w:hAnsi="Calibri" w:cs="Calibri"/>
          <w:color w:val="58595B"/>
        </w:rPr>
        <w:t>e</w:t>
      </w:r>
      <w:r w:rsidRPr="00385FFB">
        <w:rPr>
          <w:rFonts w:ascii="Calibri" w:hAnsi="Calibri" w:cs="Calibri"/>
          <w:color w:val="58595B"/>
        </w:rPr>
        <w:t>y to their click</w:t>
      </w:r>
      <w:r w:rsidR="00C279B0">
        <w:rPr>
          <w:rFonts w:ascii="Calibri" w:hAnsi="Calibri" w:cs="Calibri"/>
          <w:color w:val="58595B"/>
        </w:rPr>
        <w:t>bait, remember the "fallacy of forecasts."</w:t>
      </w:r>
      <w:r w:rsidRPr="00385FFB">
        <w:rPr>
          <w:rFonts w:ascii="Calibri" w:hAnsi="Calibri" w:cs="Calibri"/>
          <w:color w:val="58595B"/>
        </w:rPr>
        <w:t xml:space="preserve"> Even the best Wall Street analysts struggle to accurately predict next year</w:t>
      </w:r>
      <w:r w:rsidR="00B50417">
        <w:rPr>
          <w:rFonts w:ascii="Calibri" w:hAnsi="Calibri" w:cs="Calibri"/>
          <w:color w:val="58595B"/>
        </w:rPr>
        <w:t>'</w:t>
      </w:r>
      <w:r w:rsidRPr="00385FFB">
        <w:rPr>
          <w:rFonts w:ascii="Calibri" w:hAnsi="Calibri" w:cs="Calibri"/>
          <w:color w:val="58595B"/>
        </w:rPr>
        <w:t>s S&amp;P 500 returns. In 2022 and 2023, they forecasted on average a 1.2% and a 6.8% return respectively</w:t>
      </w:r>
      <w:r w:rsidR="00097DE8">
        <w:rPr>
          <w:rFonts w:ascii="Calibri" w:hAnsi="Calibri" w:cs="Calibri"/>
          <w:color w:val="58595B"/>
        </w:rPr>
        <w:t>,</w:t>
      </w:r>
      <w:r w:rsidRPr="00385FFB">
        <w:rPr>
          <w:rFonts w:ascii="Calibri" w:hAnsi="Calibri" w:cs="Calibri"/>
          <w:color w:val="58595B"/>
        </w:rPr>
        <w:t xml:space="preserve"> versus actual returns of -19.4% and 24.2%</w:t>
      </w:r>
      <w:r w:rsidRPr="00385FFB">
        <w:rPr>
          <w:rFonts w:ascii="Calibri" w:hAnsi="Calibri" w:cs="Calibri"/>
          <w:color w:val="58595B"/>
          <w:vertAlign w:val="superscript"/>
        </w:rPr>
        <w:footnoteReference w:id="1"/>
      </w:r>
      <w:r w:rsidRPr="00385FFB">
        <w:rPr>
          <w:rFonts w:ascii="Calibri" w:hAnsi="Calibri" w:cs="Calibri"/>
          <w:color w:val="58595B"/>
        </w:rPr>
        <w:t xml:space="preserve">. Big misses! Celebrity financial gurus are no better. One such </w:t>
      </w:r>
      <w:r w:rsidR="00B50417">
        <w:rPr>
          <w:rFonts w:ascii="Calibri" w:hAnsi="Calibri" w:cs="Calibri"/>
          <w:color w:val="58595B"/>
        </w:rPr>
        <w:t>"</w:t>
      </w:r>
      <w:r w:rsidRPr="00385FFB">
        <w:rPr>
          <w:rFonts w:ascii="Calibri" w:hAnsi="Calibri" w:cs="Calibri"/>
          <w:color w:val="58595B"/>
        </w:rPr>
        <w:t>guru</w:t>
      </w:r>
      <w:r w:rsidR="00B50417">
        <w:rPr>
          <w:rFonts w:ascii="Calibri" w:hAnsi="Calibri" w:cs="Calibri"/>
          <w:color w:val="58595B"/>
        </w:rPr>
        <w:t>"</w:t>
      </w:r>
      <w:r w:rsidRPr="00385FFB">
        <w:rPr>
          <w:rFonts w:ascii="Calibri" w:hAnsi="Calibri" w:cs="Calibri"/>
          <w:color w:val="58595B"/>
        </w:rPr>
        <w:t xml:space="preserve">, Guy Kiyosaki, author of </w:t>
      </w:r>
      <w:r w:rsidR="00B50417">
        <w:rPr>
          <w:rFonts w:ascii="Calibri" w:hAnsi="Calibri" w:cs="Calibri"/>
          <w:color w:val="58595B"/>
        </w:rPr>
        <w:t>"</w:t>
      </w:r>
      <w:r w:rsidRPr="00385FFB">
        <w:rPr>
          <w:rFonts w:ascii="Calibri" w:hAnsi="Calibri" w:cs="Calibri"/>
          <w:color w:val="58595B"/>
        </w:rPr>
        <w:t>Rich Dad, Poor Dad</w:t>
      </w:r>
      <w:r w:rsidR="002C2DE1">
        <w:rPr>
          <w:rFonts w:ascii="Calibri" w:hAnsi="Calibri" w:cs="Calibri"/>
          <w:color w:val="58595B"/>
        </w:rPr>
        <w:t>,</w:t>
      </w:r>
      <w:r w:rsidR="00B50417">
        <w:rPr>
          <w:rFonts w:ascii="Calibri" w:hAnsi="Calibri" w:cs="Calibri"/>
          <w:color w:val="58595B"/>
        </w:rPr>
        <w:t>"</w:t>
      </w:r>
      <w:r w:rsidRPr="00385FFB">
        <w:rPr>
          <w:rFonts w:ascii="Calibri" w:hAnsi="Calibri" w:cs="Calibri"/>
          <w:color w:val="58595B"/>
        </w:rPr>
        <w:t xml:space="preserve"> has been predicting a stock market crash since </w:t>
      </w:r>
      <w:r w:rsidRPr="00385FFB">
        <w:rPr>
          <w:rStyle w:val="css-1jxf684"/>
          <w:rFonts w:ascii="Calibri" w:hAnsi="Calibri" w:cs="Calibri"/>
          <w:color w:val="58595B"/>
        </w:rPr>
        <w:t>2016. Had you followed his advice</w:t>
      </w:r>
      <w:r w:rsidR="00E112F8">
        <w:rPr>
          <w:rStyle w:val="css-1jxf684"/>
          <w:rFonts w:ascii="Calibri" w:hAnsi="Calibri" w:cs="Calibri"/>
          <w:color w:val="58595B"/>
        </w:rPr>
        <w:t>,</w:t>
      </w:r>
      <w:r w:rsidRPr="00385FFB">
        <w:rPr>
          <w:rStyle w:val="css-1jxf684"/>
          <w:rFonts w:ascii="Calibri" w:hAnsi="Calibri" w:cs="Calibri"/>
          <w:color w:val="58595B"/>
        </w:rPr>
        <w:t xml:space="preserve"> you would have missed out on doubling your money during the period</w:t>
      </w:r>
      <w:r w:rsidR="005B4D48">
        <w:rPr>
          <w:rStyle w:val="css-1jxf684"/>
          <w:rFonts w:ascii="Calibri" w:hAnsi="Calibri" w:cs="Calibri"/>
          <w:color w:val="58595B"/>
        </w:rPr>
        <w:t>,</w:t>
      </w:r>
      <w:r w:rsidRPr="00385FFB">
        <w:rPr>
          <w:rStyle w:val="css-1jxf684"/>
          <w:rFonts w:ascii="Calibri" w:hAnsi="Calibri" w:cs="Calibri"/>
          <w:color w:val="58595B"/>
        </w:rPr>
        <w:t xml:space="preserve"> resulting in a </w:t>
      </w:r>
      <w:r w:rsidR="00B50417">
        <w:rPr>
          <w:rStyle w:val="css-1jxf684"/>
          <w:rFonts w:ascii="Calibri" w:hAnsi="Calibri" w:cs="Calibri"/>
          <w:color w:val="58595B"/>
        </w:rPr>
        <w:t>"</w:t>
      </w:r>
      <w:r w:rsidRPr="00385FFB">
        <w:rPr>
          <w:rStyle w:val="css-1jxf684"/>
          <w:rFonts w:ascii="Calibri" w:hAnsi="Calibri" w:cs="Calibri"/>
          <w:color w:val="58595B"/>
        </w:rPr>
        <w:t xml:space="preserve">Rich Dad </w:t>
      </w:r>
      <w:r w:rsidRPr="00385FFB">
        <w:rPr>
          <w:rStyle w:val="css-1jxf684"/>
          <w:rFonts w:ascii="Calibri" w:hAnsi="Calibri" w:cs="Calibri"/>
          <w:b/>
          <w:bCs/>
          <w:i/>
          <w:iCs/>
          <w:color w:val="58595B"/>
        </w:rPr>
        <w:t>Poor Reader</w:t>
      </w:r>
      <w:r w:rsidR="00B50417">
        <w:rPr>
          <w:rStyle w:val="css-1jxf684"/>
          <w:rFonts w:ascii="Calibri" w:hAnsi="Calibri" w:cs="Calibri"/>
          <w:color w:val="58595B"/>
        </w:rPr>
        <w:t>"</w:t>
      </w:r>
      <w:r w:rsidRPr="00385FFB">
        <w:rPr>
          <w:rStyle w:val="FootnoteReference"/>
          <w:rFonts w:ascii="Calibri" w:hAnsi="Calibri" w:cs="Calibri"/>
          <w:color w:val="58595B"/>
        </w:rPr>
        <w:footnoteReference w:id="2"/>
      </w:r>
      <w:r w:rsidRPr="00385FFB">
        <w:rPr>
          <w:rStyle w:val="css-1jxf684"/>
          <w:rFonts w:ascii="Calibri" w:hAnsi="Calibri" w:cs="Calibri"/>
          <w:color w:val="58595B"/>
        </w:rPr>
        <w:t xml:space="preserve"> situation. </w:t>
      </w:r>
    </w:p>
    <w:p w14:paraId="082EF8D1" w14:textId="77777777" w:rsidR="008B41AC" w:rsidRPr="00385FFB" w:rsidRDefault="008B41AC" w:rsidP="008B41AC">
      <w:pPr>
        <w:rPr>
          <w:rFonts w:ascii="Calibri" w:hAnsi="Calibri" w:cs="Calibri"/>
          <w:color w:val="58595B"/>
        </w:rPr>
      </w:pPr>
    </w:p>
    <w:p w14:paraId="0D0C263F" w14:textId="38CFB094" w:rsidR="008B41AC" w:rsidRPr="00385FFB" w:rsidRDefault="008B41AC" w:rsidP="008B41AC">
      <w:pPr>
        <w:rPr>
          <w:rFonts w:ascii="Calibri" w:hAnsi="Calibri" w:cs="Calibri"/>
          <w:color w:val="58595B"/>
        </w:rPr>
      </w:pPr>
      <w:r w:rsidRPr="00385FFB">
        <w:rPr>
          <w:rFonts w:ascii="Calibri" w:hAnsi="Calibri" w:cs="Calibri"/>
          <w:b/>
          <w:bCs/>
          <w:color w:val="58595B"/>
        </w:rPr>
        <w:t>Savings:</w:t>
      </w:r>
      <w:r w:rsidRPr="00385FFB">
        <w:rPr>
          <w:rFonts w:ascii="Calibri" w:hAnsi="Calibri" w:cs="Calibri"/>
          <w:color w:val="58595B"/>
        </w:rPr>
        <w:t xml:space="preserve"> Do you know t</w:t>
      </w:r>
      <w:r w:rsidRPr="00385FFB">
        <w:rPr>
          <w:rStyle w:val="break-words"/>
          <w:rFonts w:ascii="Calibri" w:hAnsi="Calibri" w:cs="Calibri"/>
          <w:color w:val="58595B"/>
        </w:rPr>
        <w:t>he neighbors of lottery winners are more likely to increase their spending, take on more debt</w:t>
      </w:r>
      <w:r w:rsidR="005B4D48">
        <w:rPr>
          <w:rStyle w:val="break-words"/>
          <w:rFonts w:ascii="Calibri" w:hAnsi="Calibri" w:cs="Calibri"/>
          <w:color w:val="58595B"/>
        </w:rPr>
        <w:t>,</w:t>
      </w:r>
      <w:r w:rsidRPr="00385FFB">
        <w:rPr>
          <w:rStyle w:val="break-words"/>
          <w:rFonts w:ascii="Calibri" w:hAnsi="Calibri" w:cs="Calibri"/>
          <w:color w:val="58595B"/>
        </w:rPr>
        <w:t xml:space="preserve"> and put more into speculative investments? You</w:t>
      </w:r>
      <w:r w:rsidR="00B50417">
        <w:rPr>
          <w:rStyle w:val="break-words"/>
          <w:rFonts w:ascii="Calibri" w:hAnsi="Calibri" w:cs="Calibri"/>
          <w:color w:val="58595B"/>
        </w:rPr>
        <w:t>'</w:t>
      </w:r>
      <w:r w:rsidRPr="00385FFB">
        <w:rPr>
          <w:rStyle w:val="break-words"/>
          <w:rFonts w:ascii="Calibri" w:hAnsi="Calibri" w:cs="Calibri"/>
          <w:color w:val="58595B"/>
        </w:rPr>
        <w:t>ll never be content trying to keep up with the Joneses because there is an endless supply of them to keep up with. Instead, s</w:t>
      </w:r>
      <w:r w:rsidRPr="00385FFB">
        <w:rPr>
          <w:rFonts w:ascii="Calibri" w:hAnsi="Calibri" w:cs="Calibri"/>
          <w:color w:val="58595B"/>
        </w:rPr>
        <w:t xml:space="preserve">et your savings policy to achieve your goals and adjust as market conditions or individual circumstances dictate. </w:t>
      </w:r>
    </w:p>
    <w:p w14:paraId="2623FAD5" w14:textId="77777777" w:rsidR="008B41AC" w:rsidRPr="00385FFB" w:rsidRDefault="008B41AC" w:rsidP="008B41AC">
      <w:pPr>
        <w:rPr>
          <w:rFonts w:ascii="Calibri" w:hAnsi="Calibri" w:cs="Calibri"/>
          <w:b/>
          <w:bCs/>
          <w:color w:val="58595B"/>
        </w:rPr>
      </w:pPr>
    </w:p>
    <w:p w14:paraId="4D5A7CD8" w14:textId="353F20F9" w:rsidR="008B41AC" w:rsidRPr="00385FFB" w:rsidRDefault="008B41AC" w:rsidP="008B41AC">
      <w:pPr>
        <w:rPr>
          <w:rFonts w:ascii="Calibri" w:hAnsi="Calibri" w:cs="Calibri"/>
          <w:color w:val="58595B"/>
        </w:rPr>
      </w:pPr>
      <w:r w:rsidRPr="00385FFB">
        <w:rPr>
          <w:rFonts w:ascii="Calibri" w:hAnsi="Calibri" w:cs="Calibri"/>
          <w:b/>
          <w:bCs/>
          <w:color w:val="58595B"/>
        </w:rPr>
        <w:t>Behavior:</w:t>
      </w:r>
      <w:r w:rsidRPr="00385FFB">
        <w:rPr>
          <w:rFonts w:ascii="Calibri" w:hAnsi="Calibri" w:cs="Calibri"/>
          <w:color w:val="58595B"/>
        </w:rPr>
        <w:t xml:space="preserve"> The </w:t>
      </w:r>
      <w:r w:rsidRPr="00385FFB">
        <w:rPr>
          <w:rStyle w:val="break-words"/>
          <w:rFonts w:ascii="Calibri" w:hAnsi="Calibri" w:cs="Calibri"/>
          <w:color w:val="58595B"/>
        </w:rPr>
        <w:t>emotional cycle of investing is a concept within behavioral finance</w:t>
      </w:r>
      <w:r w:rsidRPr="00385FFB">
        <w:rPr>
          <w:rFonts w:ascii="Calibri" w:hAnsi="Calibri" w:cs="Calibri"/>
          <w:color w:val="58595B"/>
        </w:rPr>
        <w:t xml:space="preserve"> that describes how investors' emotions influence their decisions as markets rise and fall. When markets are rising, investors</w:t>
      </w:r>
      <w:r w:rsidR="00B50417">
        <w:rPr>
          <w:rFonts w:ascii="Calibri" w:hAnsi="Calibri" w:cs="Calibri"/>
          <w:color w:val="58595B"/>
        </w:rPr>
        <w:t>'</w:t>
      </w:r>
      <w:r w:rsidRPr="00385FFB">
        <w:rPr>
          <w:rFonts w:ascii="Calibri" w:hAnsi="Calibri" w:cs="Calibri"/>
          <w:color w:val="58595B"/>
        </w:rPr>
        <w:t xml:space="preserve"> emotions propel them to buy out of greed. Conversely, when markets are tanking and cheap, investors sell out of fear. These actions are counterproductive to achieving long-term financial goals and produce subpar returns.</w:t>
      </w:r>
      <w:r w:rsidRPr="00385FFB">
        <w:rPr>
          <w:rStyle w:val="Heading1Char"/>
          <w:rFonts w:ascii="Calibri" w:hAnsi="Calibri" w:cs="Calibri"/>
          <w:color w:val="58595B"/>
          <w:sz w:val="22"/>
          <w:szCs w:val="22"/>
        </w:rPr>
        <w:t xml:space="preserve"> </w:t>
      </w:r>
      <w:r w:rsidRPr="00385FFB">
        <w:rPr>
          <w:rFonts w:ascii="Calibri" w:hAnsi="Calibri" w:cs="Calibri"/>
          <w:color w:val="58595B"/>
        </w:rPr>
        <w:t>Morningstar estimates that fund investors have lagged the very funds they owned by 1.7% annually over the 10-year period (2013-</w:t>
      </w:r>
      <w:r w:rsidR="00C36D16">
        <w:rPr>
          <w:rFonts w:ascii="Calibri" w:hAnsi="Calibri" w:cs="Calibri"/>
          <w:color w:val="58595B"/>
        </w:rPr>
        <w:t>20</w:t>
      </w:r>
      <w:r w:rsidRPr="00385FFB">
        <w:rPr>
          <w:rFonts w:ascii="Calibri" w:hAnsi="Calibri" w:cs="Calibri"/>
          <w:color w:val="58595B"/>
        </w:rPr>
        <w:t>22) because of overtrading and performance chasing.</w:t>
      </w:r>
    </w:p>
    <w:p w14:paraId="23743E8A" w14:textId="77777777" w:rsidR="008B41AC" w:rsidRPr="00385FFB" w:rsidRDefault="008B41AC" w:rsidP="008B41AC">
      <w:pPr>
        <w:rPr>
          <w:rFonts w:ascii="Calibri" w:hAnsi="Calibri" w:cs="Calibri"/>
          <w:b/>
          <w:bCs/>
          <w:color w:val="58595B"/>
        </w:rPr>
      </w:pPr>
    </w:p>
    <w:p w14:paraId="3D900654" w14:textId="1A4C5B0C" w:rsidR="008B41AC" w:rsidRPr="00385FFB" w:rsidRDefault="008B41AC" w:rsidP="008B41AC">
      <w:pPr>
        <w:rPr>
          <w:rFonts w:ascii="Calibri" w:hAnsi="Calibri" w:cs="Calibri"/>
          <w:color w:val="58595B"/>
        </w:rPr>
      </w:pPr>
      <w:r w:rsidRPr="00385FFB">
        <w:rPr>
          <w:rFonts w:ascii="Calibri" w:hAnsi="Calibri" w:cs="Calibri"/>
          <w:b/>
          <w:bCs/>
          <w:color w:val="58595B"/>
        </w:rPr>
        <w:t xml:space="preserve">Portfolio: </w:t>
      </w:r>
      <w:r w:rsidRPr="00385FFB">
        <w:rPr>
          <w:rFonts w:ascii="Calibri" w:hAnsi="Calibri" w:cs="Calibri"/>
          <w:color w:val="58595B"/>
        </w:rPr>
        <w:t>Wealthcare</w:t>
      </w:r>
      <w:r w:rsidR="00B50417">
        <w:rPr>
          <w:rFonts w:ascii="Calibri" w:hAnsi="Calibri" w:cs="Calibri"/>
          <w:color w:val="58595B"/>
        </w:rPr>
        <w:t>'</w:t>
      </w:r>
      <w:r w:rsidRPr="00385FFB">
        <w:rPr>
          <w:rFonts w:ascii="Calibri" w:hAnsi="Calibri" w:cs="Calibri"/>
          <w:color w:val="58595B"/>
        </w:rPr>
        <w:t>s Investment Choice Framework is designed to help you get the big decisions right. What are the big decisions? For this</w:t>
      </w:r>
      <w:r w:rsidR="005F0EF1">
        <w:rPr>
          <w:rFonts w:ascii="Calibri" w:hAnsi="Calibri" w:cs="Calibri"/>
          <w:color w:val="58595B"/>
        </w:rPr>
        <w:t>,</w:t>
      </w:r>
      <w:r w:rsidRPr="00385FFB">
        <w:rPr>
          <w:rFonts w:ascii="Calibri" w:hAnsi="Calibri" w:cs="Calibri"/>
          <w:color w:val="58595B"/>
        </w:rPr>
        <w:t xml:space="preserve"> we turn to research from Yale professor Roger Ibbotson</w:t>
      </w:r>
      <w:r w:rsidR="005F0EF1">
        <w:rPr>
          <w:rFonts w:ascii="Calibri" w:hAnsi="Calibri" w:cs="Calibri"/>
          <w:color w:val="58595B"/>
        </w:rPr>
        <w:t>,</w:t>
      </w:r>
      <w:r w:rsidRPr="00385FFB">
        <w:rPr>
          <w:rFonts w:ascii="Calibri" w:hAnsi="Calibri" w:cs="Calibri"/>
          <w:color w:val="58595B"/>
        </w:rPr>
        <w:t xml:space="preserve"> </w:t>
      </w:r>
      <w:r w:rsidRPr="00385FFB">
        <w:rPr>
          <w:rStyle w:val="FootnoteReference"/>
          <w:rFonts w:ascii="Calibri" w:hAnsi="Calibri" w:cs="Calibri"/>
          <w:color w:val="58595B"/>
        </w:rPr>
        <w:footnoteReference w:id="3"/>
      </w:r>
      <w:r w:rsidRPr="00385FFB">
        <w:rPr>
          <w:rFonts w:ascii="Calibri" w:hAnsi="Calibri" w:cs="Calibri"/>
          <w:color w:val="58595B"/>
        </w:rPr>
        <w:t xml:space="preserve"> where he asked the question: What are the key drivers of portfolio return and risk? After a series of regressions, he concludes that approximately 75% of your return and risk are driven by your risk allocation, or your overall equity to fixed income mix. Risk Allocation is the first big decision. The remaining 25% is split between your asset class allocation and active risk decisions. Your asset allocation decisions reflect your preferences regarding the geographic orientation of your portfolio and </w:t>
      </w:r>
      <w:proofErr w:type="gramStart"/>
      <w:r w:rsidRPr="00385FFB">
        <w:rPr>
          <w:rFonts w:ascii="Calibri" w:hAnsi="Calibri" w:cs="Calibri"/>
          <w:color w:val="58595B"/>
        </w:rPr>
        <w:t>the assets classes</w:t>
      </w:r>
      <w:proofErr w:type="gramEnd"/>
      <w:r w:rsidRPr="00385FFB">
        <w:rPr>
          <w:rFonts w:ascii="Calibri" w:hAnsi="Calibri" w:cs="Calibri"/>
          <w:color w:val="58595B"/>
        </w:rPr>
        <w:t xml:space="preserve"> asset classes you own within equities (large cap, small cap, international etc.) and fixed income (Treasuries, </w:t>
      </w:r>
      <w:r w:rsidRPr="00385FFB">
        <w:rPr>
          <w:rFonts w:ascii="Calibri" w:hAnsi="Calibri" w:cs="Calibri"/>
          <w:color w:val="58595B"/>
        </w:rPr>
        <w:lastRenderedPageBreak/>
        <w:t>credits, mortgages, etc.).   Your active risk decision reflects your preferences regarding active versus passive investments. These big decisions – risk allocation, asset allocation and active risk – are key investment policies that will drive your investment experience. The goal of the Choice Framework is to facilitate selecting a portfolio based on your goals and your investment policy preferences.</w:t>
      </w:r>
    </w:p>
    <w:p w14:paraId="594FA852" w14:textId="77777777" w:rsidR="008B41AC" w:rsidRPr="00385FFB" w:rsidRDefault="008B41AC" w:rsidP="008B41AC">
      <w:pPr>
        <w:rPr>
          <w:rFonts w:ascii="Calibri" w:hAnsi="Calibri" w:cs="Calibri"/>
          <w:b/>
          <w:bCs/>
          <w:color w:val="58595B"/>
        </w:rPr>
      </w:pPr>
    </w:p>
    <w:p w14:paraId="5FF92987" w14:textId="77BE4300" w:rsidR="008B41AC" w:rsidRPr="00385FFB" w:rsidRDefault="008B41AC" w:rsidP="008B41AC">
      <w:pPr>
        <w:rPr>
          <w:rFonts w:ascii="Calibri" w:hAnsi="Calibri" w:cs="Calibri"/>
          <w:color w:val="58595B"/>
        </w:rPr>
      </w:pPr>
      <w:r w:rsidRPr="00385FFB">
        <w:rPr>
          <w:rFonts w:ascii="Calibri" w:hAnsi="Calibri" w:cs="Calibri"/>
          <w:b/>
          <w:bCs/>
          <w:color w:val="58595B"/>
        </w:rPr>
        <w:t>Taxes:</w:t>
      </w:r>
      <w:r w:rsidRPr="00385FFB">
        <w:rPr>
          <w:rFonts w:ascii="Calibri" w:hAnsi="Calibri" w:cs="Calibri"/>
          <w:color w:val="58595B"/>
        </w:rPr>
        <w:t xml:space="preserve"> The One Big Beautiful Bill Act (OBBBA) has become law. We are still learning about what is in the more than 1,000 pages of the bill and its potential impacts. However, tax rates and the estate tax exemption that were set to expire under current law have been made permanent. The OBBBA will impact strategies to reduce your lifetime taxes which we can discuss in our next planning meeting.</w:t>
      </w:r>
    </w:p>
    <w:p w14:paraId="74BB14C7" w14:textId="77777777" w:rsidR="008B41AC" w:rsidRPr="00385FFB" w:rsidRDefault="008B41AC" w:rsidP="008B41AC">
      <w:pPr>
        <w:rPr>
          <w:rFonts w:ascii="Calibri" w:hAnsi="Calibri" w:cs="Calibri"/>
          <w:b/>
          <w:bCs/>
          <w:color w:val="58595B"/>
        </w:rPr>
      </w:pPr>
      <w:r w:rsidRPr="00385FFB">
        <w:rPr>
          <w:rFonts w:ascii="Calibri" w:hAnsi="Calibri" w:cs="Calibri"/>
          <w:color w:val="58595B"/>
        </w:rPr>
        <w:t xml:space="preserve">  </w:t>
      </w:r>
    </w:p>
    <w:p w14:paraId="48191658" w14:textId="77777777" w:rsidR="008B41AC" w:rsidRPr="00385FFB" w:rsidRDefault="008B41AC" w:rsidP="008B41AC">
      <w:pPr>
        <w:rPr>
          <w:rFonts w:ascii="Calibri" w:hAnsi="Calibri" w:cs="Calibri"/>
          <w:color w:val="58595B"/>
        </w:rPr>
      </w:pPr>
      <w:r w:rsidRPr="00385FFB">
        <w:rPr>
          <w:rFonts w:ascii="Calibri" w:hAnsi="Calibri" w:cs="Calibri"/>
          <w:b/>
          <w:bCs/>
          <w:color w:val="58595B"/>
        </w:rPr>
        <w:t xml:space="preserve">Expenses and Fees: </w:t>
      </w:r>
      <w:r w:rsidRPr="00385FFB">
        <w:rPr>
          <w:rFonts w:ascii="Calibri" w:hAnsi="Calibri" w:cs="Calibri"/>
          <w:color w:val="58595B"/>
        </w:rPr>
        <w:t xml:space="preserve">It's crucial to assess whether the potential for higher returns justifies higher expense ratios and fees. Moderately priced active management may make sense when evaluated relative to the risk profile of the fund, asset class and confidence in the manager. High-cost passive and high-cost active are likely an unforced error. </w:t>
      </w:r>
    </w:p>
    <w:p w14:paraId="057B1825" w14:textId="77777777" w:rsidR="008B41AC" w:rsidRPr="00385FFB" w:rsidRDefault="008B41AC" w:rsidP="008B41AC">
      <w:pPr>
        <w:rPr>
          <w:rFonts w:ascii="Calibri" w:hAnsi="Calibri" w:cs="Calibri"/>
          <w:color w:val="58595B"/>
        </w:rPr>
      </w:pPr>
    </w:p>
    <w:p w14:paraId="5E5A05AD" w14:textId="20C2FA66" w:rsidR="008B41AC" w:rsidRPr="00385FFB" w:rsidRDefault="008B41AC" w:rsidP="008B41AC">
      <w:pPr>
        <w:rPr>
          <w:rFonts w:ascii="Calibri" w:hAnsi="Calibri" w:cs="Calibri"/>
          <w:color w:val="58595B"/>
        </w:rPr>
      </w:pPr>
      <w:r w:rsidRPr="00385FFB">
        <w:rPr>
          <w:rFonts w:ascii="Calibri" w:hAnsi="Calibri" w:cs="Calibri"/>
          <w:color w:val="58595B"/>
        </w:rPr>
        <w:t xml:space="preserve">It is hard to imagine a more volatile quarter than the past, but the ongoing tariff saga and market reaction to the Trump mega-bill will likely keep markets on edge. As such, focusing on the "controllables" offers reduced anxiety, improved decision-making, and increased confidence.  </w:t>
      </w:r>
    </w:p>
    <w:p w14:paraId="3E98AD91" w14:textId="77777777" w:rsidR="008B41AC" w:rsidRPr="00385FFB" w:rsidRDefault="008B41AC" w:rsidP="008B41AC">
      <w:pPr>
        <w:rPr>
          <w:rFonts w:ascii="Calibri" w:hAnsi="Calibri" w:cs="Calibri"/>
          <w:color w:val="58595B"/>
        </w:rPr>
      </w:pPr>
    </w:p>
    <w:p w14:paraId="024766DA" w14:textId="77777777" w:rsidR="008B41AC" w:rsidRPr="00385FFB" w:rsidRDefault="008B41AC" w:rsidP="008B41AC">
      <w:pPr>
        <w:rPr>
          <w:rFonts w:ascii="Calibri" w:hAnsi="Calibri" w:cs="Calibri"/>
          <w:color w:val="58595B"/>
        </w:rPr>
      </w:pPr>
      <w:r w:rsidRPr="00385FFB">
        <w:rPr>
          <w:rFonts w:ascii="Calibri" w:hAnsi="Calibri" w:cs="Calibri"/>
          <w:color w:val="58595B"/>
        </w:rPr>
        <w:t>Feel free to reach out to me to discuss further.</w:t>
      </w:r>
    </w:p>
    <w:p w14:paraId="151FA971" w14:textId="77777777" w:rsidR="00BD6897" w:rsidRDefault="00BD6897" w:rsidP="0088471B">
      <w:pPr>
        <w:rPr>
          <w:rFonts w:cstheme="minorHAnsi"/>
          <w:color w:val="58595B"/>
          <w:sz w:val="16"/>
          <w:szCs w:val="16"/>
        </w:rPr>
      </w:pPr>
    </w:p>
    <w:p w14:paraId="6B5A4C21" w14:textId="77777777" w:rsidR="00BD6897" w:rsidRDefault="00BD6897" w:rsidP="0088471B">
      <w:pPr>
        <w:rPr>
          <w:rFonts w:cstheme="minorHAnsi"/>
          <w:color w:val="58595B"/>
          <w:sz w:val="16"/>
          <w:szCs w:val="16"/>
        </w:rPr>
      </w:pPr>
    </w:p>
    <w:p w14:paraId="5080F58D" w14:textId="77777777" w:rsidR="00BD6897" w:rsidRDefault="00BD6897" w:rsidP="0088471B">
      <w:pPr>
        <w:rPr>
          <w:rFonts w:cstheme="minorHAnsi"/>
          <w:color w:val="58595B"/>
          <w:sz w:val="16"/>
          <w:szCs w:val="16"/>
        </w:rPr>
      </w:pPr>
    </w:p>
    <w:p w14:paraId="42FAB85D" w14:textId="77777777" w:rsidR="00BD6897" w:rsidRDefault="00BD6897" w:rsidP="0088471B">
      <w:pPr>
        <w:rPr>
          <w:rFonts w:cstheme="minorHAnsi"/>
          <w:color w:val="58595B"/>
          <w:sz w:val="16"/>
          <w:szCs w:val="16"/>
        </w:rPr>
      </w:pPr>
    </w:p>
    <w:p w14:paraId="5CF99149" w14:textId="77777777" w:rsidR="00741BF1" w:rsidRDefault="00741BF1" w:rsidP="0088471B">
      <w:pPr>
        <w:rPr>
          <w:rFonts w:cstheme="minorHAnsi"/>
          <w:color w:val="58595B"/>
          <w:sz w:val="16"/>
          <w:szCs w:val="16"/>
        </w:rPr>
      </w:pPr>
    </w:p>
    <w:p w14:paraId="6D1EEF09" w14:textId="77777777" w:rsidR="00741BF1" w:rsidRDefault="00741BF1" w:rsidP="0088471B">
      <w:pPr>
        <w:rPr>
          <w:rFonts w:cstheme="minorHAnsi"/>
          <w:color w:val="58595B"/>
          <w:sz w:val="16"/>
          <w:szCs w:val="16"/>
        </w:rPr>
      </w:pPr>
    </w:p>
    <w:p w14:paraId="62AD0DB5" w14:textId="77777777" w:rsidR="00741BF1" w:rsidRDefault="00741BF1" w:rsidP="0088471B">
      <w:pPr>
        <w:rPr>
          <w:rFonts w:cstheme="minorHAnsi"/>
          <w:color w:val="58595B"/>
          <w:sz w:val="16"/>
          <w:szCs w:val="16"/>
        </w:rPr>
      </w:pPr>
    </w:p>
    <w:p w14:paraId="579E5CD0" w14:textId="77777777" w:rsidR="00741BF1" w:rsidRDefault="00741BF1" w:rsidP="0088471B">
      <w:pPr>
        <w:rPr>
          <w:rFonts w:cstheme="minorHAnsi"/>
          <w:color w:val="58595B"/>
          <w:sz w:val="16"/>
          <w:szCs w:val="16"/>
        </w:rPr>
      </w:pPr>
    </w:p>
    <w:p w14:paraId="5BC13219" w14:textId="77777777" w:rsidR="00741BF1" w:rsidRDefault="00741BF1" w:rsidP="0088471B">
      <w:pPr>
        <w:rPr>
          <w:rFonts w:cstheme="minorHAnsi"/>
          <w:color w:val="58595B"/>
          <w:sz w:val="16"/>
          <w:szCs w:val="16"/>
        </w:rPr>
      </w:pPr>
    </w:p>
    <w:p w14:paraId="63391432" w14:textId="77777777" w:rsidR="00741BF1" w:rsidRDefault="00741BF1" w:rsidP="0088471B">
      <w:pPr>
        <w:rPr>
          <w:rFonts w:cstheme="minorHAnsi"/>
          <w:color w:val="58595B"/>
          <w:sz w:val="16"/>
          <w:szCs w:val="16"/>
        </w:rPr>
      </w:pPr>
    </w:p>
    <w:p w14:paraId="1E332397" w14:textId="77777777" w:rsidR="0082249B" w:rsidRDefault="0082249B" w:rsidP="0088471B">
      <w:pPr>
        <w:rPr>
          <w:rFonts w:cstheme="minorHAnsi"/>
          <w:color w:val="58595B"/>
          <w:sz w:val="16"/>
          <w:szCs w:val="16"/>
        </w:rPr>
      </w:pPr>
    </w:p>
    <w:p w14:paraId="4CEE04D0" w14:textId="77777777" w:rsidR="0082249B" w:rsidRDefault="0082249B" w:rsidP="0088471B">
      <w:pPr>
        <w:rPr>
          <w:rFonts w:cstheme="minorHAnsi"/>
          <w:color w:val="58595B"/>
          <w:sz w:val="16"/>
          <w:szCs w:val="16"/>
        </w:rPr>
      </w:pPr>
    </w:p>
    <w:p w14:paraId="1F8A8C22" w14:textId="77777777" w:rsidR="0082249B" w:rsidRDefault="0082249B" w:rsidP="0088471B">
      <w:pPr>
        <w:rPr>
          <w:rFonts w:cstheme="minorHAnsi"/>
          <w:color w:val="58595B"/>
          <w:sz w:val="16"/>
          <w:szCs w:val="16"/>
        </w:rPr>
      </w:pPr>
    </w:p>
    <w:p w14:paraId="5BA1744A" w14:textId="77777777" w:rsidR="00741BF1" w:rsidRDefault="00741BF1" w:rsidP="00D226A9">
      <w:pPr>
        <w:spacing w:after="60"/>
        <w:rPr>
          <w:rFonts w:cstheme="minorHAnsi"/>
          <w:color w:val="58595B"/>
          <w:sz w:val="16"/>
          <w:szCs w:val="16"/>
        </w:rPr>
      </w:pPr>
    </w:p>
    <w:p w14:paraId="79819C98" w14:textId="77777777" w:rsidR="0010181F" w:rsidRDefault="0010181F" w:rsidP="00D226A9">
      <w:pPr>
        <w:spacing w:after="60"/>
        <w:rPr>
          <w:rFonts w:cstheme="minorHAnsi"/>
          <w:color w:val="58595B"/>
          <w:sz w:val="16"/>
          <w:szCs w:val="16"/>
        </w:rPr>
      </w:pPr>
    </w:p>
    <w:p w14:paraId="12620763" w14:textId="77777777" w:rsidR="00AA13BA" w:rsidRDefault="00AA13BA" w:rsidP="00D226A9">
      <w:pPr>
        <w:spacing w:after="60"/>
        <w:rPr>
          <w:rFonts w:cstheme="minorHAnsi"/>
          <w:color w:val="58595B"/>
          <w:sz w:val="16"/>
          <w:szCs w:val="16"/>
        </w:rPr>
      </w:pPr>
    </w:p>
    <w:p w14:paraId="1390EDF7" w14:textId="77777777" w:rsidR="00AA13BA" w:rsidRDefault="00AA13BA" w:rsidP="00D226A9">
      <w:pPr>
        <w:spacing w:after="60"/>
        <w:rPr>
          <w:rFonts w:cstheme="minorHAnsi"/>
          <w:color w:val="58595B"/>
          <w:sz w:val="16"/>
          <w:szCs w:val="16"/>
        </w:rPr>
      </w:pPr>
    </w:p>
    <w:p w14:paraId="2527DD27" w14:textId="77777777" w:rsidR="00AA13BA" w:rsidRDefault="00AA13BA" w:rsidP="00D226A9">
      <w:pPr>
        <w:spacing w:after="60"/>
        <w:rPr>
          <w:rFonts w:cstheme="minorHAnsi"/>
          <w:color w:val="58595B"/>
          <w:sz w:val="16"/>
          <w:szCs w:val="16"/>
        </w:rPr>
      </w:pPr>
    </w:p>
    <w:p w14:paraId="767565C2" w14:textId="77777777" w:rsidR="00741BF1" w:rsidRDefault="00741BF1" w:rsidP="00D226A9">
      <w:pPr>
        <w:spacing w:after="60"/>
        <w:rPr>
          <w:rFonts w:cstheme="minorHAnsi"/>
          <w:color w:val="58595B"/>
          <w:sz w:val="16"/>
          <w:szCs w:val="16"/>
        </w:rPr>
      </w:pPr>
    </w:p>
    <w:p w14:paraId="3C01EC45" w14:textId="4FDA5932"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w:t>
      </w:r>
      <w:r w:rsidR="008B41AC">
        <w:rPr>
          <w:rFonts w:cstheme="minorHAnsi"/>
          <w:color w:val="58595B"/>
          <w:sz w:val="16"/>
          <w:szCs w:val="16"/>
        </w:rPr>
        <w:t>5</w:t>
      </w:r>
      <w:r w:rsidRPr="00BD6897">
        <w:rPr>
          <w:rFonts w:cstheme="minorHAnsi"/>
          <w:color w:val="58595B"/>
          <w:sz w:val="16"/>
          <w:szCs w:val="16"/>
        </w:rPr>
        <w:t xml:space="preserve">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is a registered investment advisor with the U</w:t>
      </w:r>
      <w:r w:rsidR="00B50417">
        <w:rPr>
          <w:rFonts w:cstheme="minorHAnsi"/>
          <w:color w:val="58595B"/>
          <w:sz w:val="16"/>
          <w:szCs w:val="16"/>
        </w:rPr>
        <w:t>S</w:t>
      </w:r>
      <w:r w:rsidRPr="00BD6897">
        <w:rPr>
          <w:rFonts w:cstheme="minorHAnsi"/>
          <w:color w:val="58595B"/>
          <w:sz w:val="16"/>
          <w:szCs w:val="16"/>
        </w:rPr>
        <w:t xml:space="preserve">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6233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BD6897">
        <w:rPr>
          <w:rFonts w:cstheme="minorHAnsi"/>
          <w:color w:val="58595B"/>
          <w:sz w:val="16"/>
          <w:szCs w:val="16"/>
        </w:rPr>
        <w:t>reliable, but</w:t>
      </w:r>
      <w:proofErr w:type="gramEnd"/>
      <w:r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3118D16B" w14:textId="057BEFEB" w:rsidR="00B07EDC" w:rsidRPr="00B07EDC" w:rsidRDefault="00B07EDC" w:rsidP="00B07EDC">
      <w:pPr>
        <w:tabs>
          <w:tab w:val="left" w:pos="3000"/>
        </w:tabs>
        <w:jc w:val="center"/>
        <w:rPr>
          <w:rStyle w:val="normaltextrun"/>
          <w:rFonts w:eastAsia="Proxima Nova Rg" w:cs="Proxima Nova Rg"/>
          <w:caps/>
          <w:color w:val="58595B"/>
          <w:sz w:val="24"/>
          <w:szCs w:val="16"/>
        </w:rPr>
      </w:pPr>
      <w:r>
        <w:rPr>
          <w:rFonts w:eastAsia="Proxima Nova Rg" w:cs="Proxima Nova Rg"/>
          <w:caps/>
          <w:noProof/>
          <w:color w:val="58595B"/>
          <w:sz w:val="24"/>
          <w:szCs w:val="16"/>
        </w:rPr>
        <mc:AlternateContent>
          <mc:Choice Requires="wps">
            <w:drawing>
              <wp:anchor distT="0" distB="0" distL="114300" distR="114300" simplePos="0" relativeHeight="251666432" behindDoc="0" locked="0" layoutInCell="1" allowOverlap="1" wp14:anchorId="7EAFB0BB" wp14:editId="4FCECC51">
                <wp:simplePos x="0" y="0"/>
                <wp:positionH relativeFrom="column">
                  <wp:posOffset>-95250</wp:posOffset>
                </wp:positionH>
                <wp:positionV relativeFrom="paragraph">
                  <wp:posOffset>265430</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96808" id="Rectangle 1" o:spid="_x0000_s1026" style="position:absolute;margin-left:-7.5pt;margin-top:20.9pt;width:160.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YOrs&#10;td4AAAAJAQAADwAAAGRycy9kb3ducmV2LnhtbEyPTU+DQBCG7yb+h82YeGsXRFpFhsYYbdSbVTxv&#10;2RGI+4Hs0uK/dzzpcWbevPM85Wa2RhxoDL13COkyAUGu8bp3LcLb68PiCkSIymllvCOEbwqwqU5P&#10;SlVof3QvdNjFVnCJC4VC6GIcCilD05FVYekHcnz78KNVkcexlXpURy63Rl4kyUpa1Tv+0KmB7jpq&#10;PneTRZjy9dP9/P61zeqkXj/XJn+M2wHx/Gy+vQERaY5/YfjFZ3SomGnvJ6eDMAiLNGeXiHCZsgIH&#10;smTFiz3CdZqBrEr536D6AQAA//8DAFBLAQItABQABgAIAAAAIQC2gziS/gAAAOEBAAATAAAAAAAA&#10;AAAAAAAAAAAAAABbQ29udGVudF9UeXBlc10ueG1sUEsBAi0AFAAGAAgAAAAhADj9If/WAAAAlAEA&#10;AAsAAAAAAAAAAAAAAAAALwEAAF9yZWxzLy5yZWxzUEsBAi0AFAAGAAgAAAAhAD+DPz17AgAAXgUA&#10;AA4AAAAAAAAAAAAAAAAALgIAAGRycy9lMm9Eb2MueG1sUEsBAi0AFAAGAAgAAAAhAGDq7LXeAAAA&#10;CQEAAA8AAAAAAAAAAAAAAAAA1QQAAGRycy9kb3ducmV2LnhtbFBLBQYAAAAABAAEAPMAAADgBQAA&#10;AAA=&#10;" fillcolor="white [3212]" stroked="f" strokeweight="2pt"/>
            </w:pict>
          </mc:Fallback>
        </mc:AlternateContent>
      </w:r>
      <w:r w:rsidR="006D7D2C" w:rsidRPr="002D4A72">
        <w:rPr>
          <w:rFonts w:eastAsia="Proxima Nova Rg" w:cs="Proxima Nova Rg"/>
          <w:caps/>
          <w:color w:val="58595B"/>
          <w:sz w:val="24"/>
          <w:szCs w:val="16"/>
        </w:rPr>
        <w:t>Wealthcaregdx.com</w:t>
      </w:r>
    </w:p>
    <w:sectPr w:rsidR="00B07EDC" w:rsidRPr="00B07EDC" w:rsidSect="00586D21">
      <w:headerReference w:type="default" r:id="rId19"/>
      <w:footerReference w:type="default" r:id="rId20"/>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8F66" w14:textId="77777777" w:rsidR="00B25FD7" w:rsidRDefault="00B25FD7">
      <w:r>
        <w:separator/>
      </w:r>
    </w:p>
  </w:endnote>
  <w:endnote w:type="continuationSeparator" w:id="0">
    <w:p w14:paraId="1EF0782B" w14:textId="77777777" w:rsidR="00B25FD7" w:rsidRDefault="00B2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Light">
    <w:altName w:val="Arial"/>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33B4" w14:textId="77777777" w:rsidR="00B25FD7" w:rsidRDefault="00B25FD7">
      <w:r>
        <w:separator/>
      </w:r>
    </w:p>
  </w:footnote>
  <w:footnote w:type="continuationSeparator" w:id="0">
    <w:p w14:paraId="38A29E6A" w14:textId="77777777" w:rsidR="00B25FD7" w:rsidRDefault="00B25FD7">
      <w:r>
        <w:continuationSeparator/>
      </w:r>
    </w:p>
  </w:footnote>
  <w:footnote w:id="1">
    <w:p w14:paraId="7D65B41F" w14:textId="77777777" w:rsidR="008B41AC" w:rsidRDefault="008B41AC" w:rsidP="008B41AC">
      <w:pPr>
        <w:pStyle w:val="FootnoteText"/>
        <w:ind w:left="720"/>
      </w:pPr>
      <w:r w:rsidRPr="0078280B">
        <w:rPr>
          <w:rStyle w:val="FootnoteReference"/>
          <w:sz w:val="16"/>
          <w:szCs w:val="16"/>
        </w:rPr>
        <w:footnoteRef/>
      </w:r>
      <w:r w:rsidRPr="0078280B">
        <w:rPr>
          <w:sz w:val="16"/>
          <w:szCs w:val="16"/>
        </w:rPr>
        <w:t xml:space="preserve"> Jeff Sommer, “Forget Stock Predictions for Next Year, Focus on the Next Decade,” New York Times, December 16, 202</w:t>
      </w:r>
      <w:r>
        <w:rPr>
          <w:sz w:val="16"/>
          <w:szCs w:val="16"/>
        </w:rPr>
        <w:t>4</w:t>
      </w:r>
    </w:p>
  </w:footnote>
  <w:footnote w:id="2">
    <w:p w14:paraId="41BC0FE8" w14:textId="77777777" w:rsidR="008B41AC" w:rsidRDefault="008B41AC" w:rsidP="008B41AC">
      <w:pPr>
        <w:pStyle w:val="FootnoteText"/>
        <w:ind w:firstLine="720"/>
      </w:pPr>
      <w:r>
        <w:rPr>
          <w:rStyle w:val="FootnoteReference"/>
        </w:rPr>
        <w:footnoteRef/>
      </w:r>
      <w:r>
        <w:t xml:space="preserve"> </w:t>
      </w:r>
      <w:r w:rsidRPr="00B23D91">
        <w:rPr>
          <w:sz w:val="16"/>
          <w:szCs w:val="16"/>
        </w:rPr>
        <w:t>Ben Carson, Stacking Benjamins podcast</w:t>
      </w:r>
      <w:r>
        <w:rPr>
          <w:sz w:val="16"/>
          <w:szCs w:val="16"/>
        </w:rPr>
        <w:t>, March 2025</w:t>
      </w:r>
    </w:p>
  </w:footnote>
  <w:footnote w:id="3">
    <w:p w14:paraId="33E848C7" w14:textId="77777777" w:rsidR="008B41AC" w:rsidRDefault="008B41AC" w:rsidP="008B41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285" w14:textId="77777777" w:rsidR="009A26BC" w:rsidRDefault="009A26BC">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MqwFAG+gGnE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97DE8"/>
    <w:rsid w:val="000A0BBE"/>
    <w:rsid w:val="000A1B7E"/>
    <w:rsid w:val="000A1E6F"/>
    <w:rsid w:val="000A301B"/>
    <w:rsid w:val="000A44C2"/>
    <w:rsid w:val="000A77AA"/>
    <w:rsid w:val="000B097C"/>
    <w:rsid w:val="000B1F1D"/>
    <w:rsid w:val="000B33F0"/>
    <w:rsid w:val="000B480D"/>
    <w:rsid w:val="000C2111"/>
    <w:rsid w:val="000C7EEE"/>
    <w:rsid w:val="000D0CAB"/>
    <w:rsid w:val="000D15E8"/>
    <w:rsid w:val="000D6CA3"/>
    <w:rsid w:val="000E31FF"/>
    <w:rsid w:val="000E6D97"/>
    <w:rsid w:val="000E7185"/>
    <w:rsid w:val="000F368D"/>
    <w:rsid w:val="00100F10"/>
    <w:rsid w:val="0010181F"/>
    <w:rsid w:val="00103C96"/>
    <w:rsid w:val="00104161"/>
    <w:rsid w:val="00107307"/>
    <w:rsid w:val="001177D9"/>
    <w:rsid w:val="00117FE0"/>
    <w:rsid w:val="00120605"/>
    <w:rsid w:val="001220F1"/>
    <w:rsid w:val="001239DF"/>
    <w:rsid w:val="00123D97"/>
    <w:rsid w:val="00126239"/>
    <w:rsid w:val="001265D3"/>
    <w:rsid w:val="00126DC4"/>
    <w:rsid w:val="0013194F"/>
    <w:rsid w:val="00132877"/>
    <w:rsid w:val="001358E4"/>
    <w:rsid w:val="001362FA"/>
    <w:rsid w:val="001412B4"/>
    <w:rsid w:val="001417C0"/>
    <w:rsid w:val="00144645"/>
    <w:rsid w:val="00147B3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3B34"/>
    <w:rsid w:val="001F5C89"/>
    <w:rsid w:val="001F6B08"/>
    <w:rsid w:val="002008EC"/>
    <w:rsid w:val="00200F08"/>
    <w:rsid w:val="00202F3C"/>
    <w:rsid w:val="00202FCB"/>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4A42"/>
    <w:rsid w:val="002373DE"/>
    <w:rsid w:val="002379CD"/>
    <w:rsid w:val="0024403A"/>
    <w:rsid w:val="002456D2"/>
    <w:rsid w:val="00247C93"/>
    <w:rsid w:val="00250C3F"/>
    <w:rsid w:val="002521B9"/>
    <w:rsid w:val="00253473"/>
    <w:rsid w:val="00254906"/>
    <w:rsid w:val="0025490D"/>
    <w:rsid w:val="00257683"/>
    <w:rsid w:val="002605D2"/>
    <w:rsid w:val="00260AAA"/>
    <w:rsid w:val="00267230"/>
    <w:rsid w:val="002675C0"/>
    <w:rsid w:val="002726E8"/>
    <w:rsid w:val="00272770"/>
    <w:rsid w:val="0027354B"/>
    <w:rsid w:val="00274975"/>
    <w:rsid w:val="00276F3F"/>
    <w:rsid w:val="00276FBD"/>
    <w:rsid w:val="00281193"/>
    <w:rsid w:val="00286460"/>
    <w:rsid w:val="00287554"/>
    <w:rsid w:val="00287EAB"/>
    <w:rsid w:val="00291D0D"/>
    <w:rsid w:val="002932EA"/>
    <w:rsid w:val="00293EC2"/>
    <w:rsid w:val="00295497"/>
    <w:rsid w:val="002A0B8E"/>
    <w:rsid w:val="002A2EAD"/>
    <w:rsid w:val="002A5716"/>
    <w:rsid w:val="002B07E7"/>
    <w:rsid w:val="002B0B5C"/>
    <w:rsid w:val="002B630C"/>
    <w:rsid w:val="002B7B45"/>
    <w:rsid w:val="002C122F"/>
    <w:rsid w:val="002C2A5C"/>
    <w:rsid w:val="002C2DE1"/>
    <w:rsid w:val="002C648F"/>
    <w:rsid w:val="002C6572"/>
    <w:rsid w:val="002C73AD"/>
    <w:rsid w:val="002E32E8"/>
    <w:rsid w:val="002E665A"/>
    <w:rsid w:val="002F33BD"/>
    <w:rsid w:val="002F4672"/>
    <w:rsid w:val="002F76FF"/>
    <w:rsid w:val="00301A6F"/>
    <w:rsid w:val="003044A4"/>
    <w:rsid w:val="003047D1"/>
    <w:rsid w:val="003068FF"/>
    <w:rsid w:val="00310271"/>
    <w:rsid w:val="0031043D"/>
    <w:rsid w:val="00311800"/>
    <w:rsid w:val="0031457F"/>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80E"/>
    <w:rsid w:val="00357A58"/>
    <w:rsid w:val="00370C73"/>
    <w:rsid w:val="0037181F"/>
    <w:rsid w:val="003737D4"/>
    <w:rsid w:val="00374065"/>
    <w:rsid w:val="00374837"/>
    <w:rsid w:val="0038183B"/>
    <w:rsid w:val="003824E7"/>
    <w:rsid w:val="00383F28"/>
    <w:rsid w:val="00385FFB"/>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2307"/>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46C53"/>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654"/>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4375"/>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555B4"/>
    <w:rsid w:val="0056048B"/>
    <w:rsid w:val="00562574"/>
    <w:rsid w:val="00584BAA"/>
    <w:rsid w:val="005856CE"/>
    <w:rsid w:val="00586D21"/>
    <w:rsid w:val="005905C5"/>
    <w:rsid w:val="0059262F"/>
    <w:rsid w:val="005B2737"/>
    <w:rsid w:val="005B2B32"/>
    <w:rsid w:val="005B4D48"/>
    <w:rsid w:val="005B5A2E"/>
    <w:rsid w:val="005B6389"/>
    <w:rsid w:val="005B66EA"/>
    <w:rsid w:val="005C0ED1"/>
    <w:rsid w:val="005C2C86"/>
    <w:rsid w:val="005C33A3"/>
    <w:rsid w:val="005D1997"/>
    <w:rsid w:val="005D2FD8"/>
    <w:rsid w:val="005D3039"/>
    <w:rsid w:val="005D5D48"/>
    <w:rsid w:val="005D606A"/>
    <w:rsid w:val="005E1C93"/>
    <w:rsid w:val="005E26E9"/>
    <w:rsid w:val="005E2E0D"/>
    <w:rsid w:val="005E4398"/>
    <w:rsid w:val="005E4F50"/>
    <w:rsid w:val="005F0EF1"/>
    <w:rsid w:val="005F1D20"/>
    <w:rsid w:val="005F3547"/>
    <w:rsid w:val="005F4495"/>
    <w:rsid w:val="005F50AB"/>
    <w:rsid w:val="005F5E0B"/>
    <w:rsid w:val="006017C4"/>
    <w:rsid w:val="00602F59"/>
    <w:rsid w:val="006047E9"/>
    <w:rsid w:val="0060643A"/>
    <w:rsid w:val="0060784E"/>
    <w:rsid w:val="006100D9"/>
    <w:rsid w:val="00611019"/>
    <w:rsid w:val="00611C61"/>
    <w:rsid w:val="00612B4F"/>
    <w:rsid w:val="00613762"/>
    <w:rsid w:val="00613DBB"/>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176C"/>
    <w:rsid w:val="0068201F"/>
    <w:rsid w:val="006820BA"/>
    <w:rsid w:val="00682F10"/>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BF1"/>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1EB4"/>
    <w:rsid w:val="007A23BB"/>
    <w:rsid w:val="007A3108"/>
    <w:rsid w:val="007A3F77"/>
    <w:rsid w:val="007A52F8"/>
    <w:rsid w:val="007A6DBD"/>
    <w:rsid w:val="007A7A65"/>
    <w:rsid w:val="007B4A6A"/>
    <w:rsid w:val="007B7DB3"/>
    <w:rsid w:val="007C15ED"/>
    <w:rsid w:val="007C7524"/>
    <w:rsid w:val="007D039A"/>
    <w:rsid w:val="007D1705"/>
    <w:rsid w:val="007D2F58"/>
    <w:rsid w:val="007D3185"/>
    <w:rsid w:val="007E3B81"/>
    <w:rsid w:val="007E4C39"/>
    <w:rsid w:val="007E4CA7"/>
    <w:rsid w:val="007F2B2B"/>
    <w:rsid w:val="007F4DFB"/>
    <w:rsid w:val="007F5779"/>
    <w:rsid w:val="007F57CF"/>
    <w:rsid w:val="007F7D4A"/>
    <w:rsid w:val="007F7E30"/>
    <w:rsid w:val="007F7EC5"/>
    <w:rsid w:val="007F7F1D"/>
    <w:rsid w:val="008005E0"/>
    <w:rsid w:val="00800E3B"/>
    <w:rsid w:val="0080222E"/>
    <w:rsid w:val="00804960"/>
    <w:rsid w:val="008106EB"/>
    <w:rsid w:val="0081161F"/>
    <w:rsid w:val="00814E3F"/>
    <w:rsid w:val="00817EE1"/>
    <w:rsid w:val="00820126"/>
    <w:rsid w:val="00820771"/>
    <w:rsid w:val="00821073"/>
    <w:rsid w:val="00821825"/>
    <w:rsid w:val="0082249B"/>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0B8A"/>
    <w:rsid w:val="00882020"/>
    <w:rsid w:val="008838BA"/>
    <w:rsid w:val="00883DC1"/>
    <w:rsid w:val="0088471B"/>
    <w:rsid w:val="00886CF6"/>
    <w:rsid w:val="00891314"/>
    <w:rsid w:val="00891CD6"/>
    <w:rsid w:val="00897691"/>
    <w:rsid w:val="008A2AD7"/>
    <w:rsid w:val="008A30B0"/>
    <w:rsid w:val="008A55C6"/>
    <w:rsid w:val="008B20CD"/>
    <w:rsid w:val="008B41AC"/>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69CF"/>
    <w:rsid w:val="0093784B"/>
    <w:rsid w:val="00941B78"/>
    <w:rsid w:val="00941C56"/>
    <w:rsid w:val="009421C4"/>
    <w:rsid w:val="00946533"/>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771E4"/>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D2F"/>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35BBB"/>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43A"/>
    <w:rsid w:val="00A97FCD"/>
    <w:rsid w:val="00AA02F6"/>
    <w:rsid w:val="00AA079B"/>
    <w:rsid w:val="00AA0C08"/>
    <w:rsid w:val="00AA0D57"/>
    <w:rsid w:val="00AA0EA5"/>
    <w:rsid w:val="00AA13BA"/>
    <w:rsid w:val="00AA6D33"/>
    <w:rsid w:val="00AB002B"/>
    <w:rsid w:val="00AB1296"/>
    <w:rsid w:val="00AB6E25"/>
    <w:rsid w:val="00AC039D"/>
    <w:rsid w:val="00AC246F"/>
    <w:rsid w:val="00AC7DFF"/>
    <w:rsid w:val="00AD7BE7"/>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20C7B"/>
    <w:rsid w:val="00B2208C"/>
    <w:rsid w:val="00B25FD7"/>
    <w:rsid w:val="00B310D6"/>
    <w:rsid w:val="00B346F8"/>
    <w:rsid w:val="00B35045"/>
    <w:rsid w:val="00B40518"/>
    <w:rsid w:val="00B43370"/>
    <w:rsid w:val="00B44158"/>
    <w:rsid w:val="00B458DB"/>
    <w:rsid w:val="00B50417"/>
    <w:rsid w:val="00B51D8E"/>
    <w:rsid w:val="00B529A3"/>
    <w:rsid w:val="00B5439B"/>
    <w:rsid w:val="00B56D8A"/>
    <w:rsid w:val="00B5791C"/>
    <w:rsid w:val="00B601FA"/>
    <w:rsid w:val="00B606D0"/>
    <w:rsid w:val="00B6249F"/>
    <w:rsid w:val="00B633C0"/>
    <w:rsid w:val="00B65C63"/>
    <w:rsid w:val="00B65D5D"/>
    <w:rsid w:val="00B66ED3"/>
    <w:rsid w:val="00B77009"/>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246F"/>
    <w:rsid w:val="00C24E4A"/>
    <w:rsid w:val="00C2525D"/>
    <w:rsid w:val="00C25931"/>
    <w:rsid w:val="00C263BB"/>
    <w:rsid w:val="00C279B0"/>
    <w:rsid w:val="00C31AE8"/>
    <w:rsid w:val="00C338CD"/>
    <w:rsid w:val="00C3398B"/>
    <w:rsid w:val="00C348B8"/>
    <w:rsid w:val="00C36D16"/>
    <w:rsid w:val="00C43733"/>
    <w:rsid w:val="00C43E88"/>
    <w:rsid w:val="00C44F8F"/>
    <w:rsid w:val="00C46828"/>
    <w:rsid w:val="00C50CCF"/>
    <w:rsid w:val="00C51AFD"/>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CF6316"/>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575B"/>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4B7"/>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12F8"/>
    <w:rsid w:val="00E11347"/>
    <w:rsid w:val="00E13977"/>
    <w:rsid w:val="00E16D1E"/>
    <w:rsid w:val="00E17038"/>
    <w:rsid w:val="00E17B6F"/>
    <w:rsid w:val="00E217E6"/>
    <w:rsid w:val="00E21803"/>
    <w:rsid w:val="00E228E9"/>
    <w:rsid w:val="00E317DA"/>
    <w:rsid w:val="00E40938"/>
    <w:rsid w:val="00E41FDB"/>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5F53"/>
    <w:rsid w:val="00ED749C"/>
    <w:rsid w:val="00EE24FC"/>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0296"/>
    <w:rsid w:val="00F82C8A"/>
    <w:rsid w:val="00F82DFF"/>
    <w:rsid w:val="00F85A28"/>
    <w:rsid w:val="00F9492C"/>
    <w:rsid w:val="00F95B56"/>
    <w:rsid w:val="00F96FDC"/>
    <w:rsid w:val="00F97EE9"/>
    <w:rsid w:val="00FA099B"/>
    <w:rsid w:val="00FA4D01"/>
    <w:rsid w:val="00FA6D95"/>
    <w:rsid w:val="00FB25FA"/>
    <w:rsid w:val="00FB430F"/>
    <w:rsid w:val="00FB61C6"/>
    <w:rsid w:val="00FB6530"/>
    <w:rsid w:val="00FC366E"/>
    <w:rsid w:val="00FC6D4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 w:type="character" w:customStyle="1" w:styleId="break-words">
    <w:name w:val="break-words"/>
    <w:basedOn w:val="DefaultParagraphFont"/>
    <w:rsid w:val="008B41AC"/>
  </w:style>
  <w:style w:type="character" w:customStyle="1" w:styleId="css-1jxf684">
    <w:name w:val="css-1jxf684"/>
    <w:basedOn w:val="DefaultParagraphFont"/>
    <w:rsid w:val="008B4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2.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3.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88A67FDC-95E1-4BA9-9677-562E7EBD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1071</Words>
  <Characters>5700</Characters>
  <Application>Microsoft Office Word</Application>
  <DocSecurity>0</DocSecurity>
  <Lines>100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113</cp:revision>
  <cp:lastPrinted>2024-01-05T17:15:00Z</cp:lastPrinted>
  <dcterms:created xsi:type="dcterms:W3CDTF">2023-04-14T16:37:00Z</dcterms:created>
  <dcterms:modified xsi:type="dcterms:W3CDTF">2025-07-07T18:53:00Z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