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4777" w14:textId="4CF027D2" w:rsidR="00CE7DF2" w:rsidRPr="00126EFF" w:rsidRDefault="00116740" w:rsidP="00BF0243">
      <w:pPr>
        <w:rPr>
          <w:rFonts w:eastAsia="Times New Roman" w:cstheme="minorHAnsi"/>
          <w:color w:val="58595B"/>
          <w:sz w:val="20"/>
          <w:szCs w:val="20"/>
        </w:rPr>
      </w:pPr>
      <w:bookmarkStart w:id="0" w:name="_Hlk33428732"/>
      <w:bookmarkEnd w:id="0"/>
      <w:r w:rsidRPr="00126EFF">
        <w:rPr>
          <w:rFonts w:cstheme="minorHAnsi"/>
          <w:noProof/>
          <w:color w:val="58595B"/>
        </w:rPr>
        <mc:AlternateContent>
          <mc:Choice Requires="wps">
            <w:drawing>
              <wp:anchor distT="0" distB="0" distL="114300" distR="114300" simplePos="0" relativeHeight="251657216"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126EFF">
        <w:rPr>
          <w:rFonts w:eastAsia="Times New Roman" w:cstheme="minorHAnsi"/>
          <w:noProof/>
          <w:color w:val="58595B"/>
          <w:sz w:val="20"/>
          <w:szCs w:val="20"/>
        </w:rPr>
        <mc:AlternateContent>
          <mc:Choice Requires="wps">
            <w:drawing>
              <wp:anchor distT="0" distB="0" distL="114300" distR="114300" simplePos="0" relativeHeight="251659264"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126EFF">
        <w:rPr>
          <w:rFonts w:cstheme="minorHAnsi"/>
          <w:noProof/>
          <w:color w:val="58595B"/>
        </w:rPr>
        <mc:AlternateContent>
          <mc:Choice Requires="wpg">
            <w:drawing>
              <wp:anchor distT="0" distB="0" distL="114300" distR="114300" simplePos="0" relativeHeight="251655168"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BFE2EC" id="Group 10" o:spid="_x0000_s1026" style="position:absolute;margin-left:0;margin-top:0;width:612pt;height:64.9pt;z-index:251655168;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126EFF" w:rsidRDefault="00CE7DF2" w:rsidP="00BF0243">
      <w:pPr>
        <w:shd w:val="clear" w:color="auto" w:fill="FFFFFF"/>
        <w:rPr>
          <w:rFonts w:eastAsia="Times New Roman" w:cstheme="minorHAnsi"/>
          <w:b/>
          <w:bCs/>
          <w:color w:val="58595B"/>
          <w:sz w:val="32"/>
          <w:szCs w:val="32"/>
        </w:rPr>
      </w:pPr>
    </w:p>
    <w:p w14:paraId="498CF986" w14:textId="26BB8457" w:rsidR="00310271" w:rsidRPr="00053804" w:rsidRDefault="00FF4A69" w:rsidP="00BF0243">
      <w:pPr>
        <w:ind w:left="720"/>
        <w:rPr>
          <w:rFonts w:eastAsia="Proxima Nova Light" w:cstheme="minorHAnsi"/>
          <w:color w:val="005EA4"/>
          <w:sz w:val="44"/>
          <w:szCs w:val="44"/>
        </w:rPr>
      </w:pPr>
      <w:r w:rsidRPr="00053804">
        <w:rPr>
          <w:rFonts w:eastAsia="Times New Roman" w:cstheme="minorHAnsi"/>
          <w:b/>
          <w:bCs/>
          <w:color w:val="005EA4"/>
          <w:sz w:val="44"/>
          <w:szCs w:val="44"/>
        </w:rPr>
        <w:t>Ju</w:t>
      </w:r>
      <w:r w:rsidR="005D5662">
        <w:rPr>
          <w:rFonts w:eastAsia="Times New Roman" w:cstheme="minorHAnsi"/>
          <w:b/>
          <w:bCs/>
          <w:color w:val="005EA4"/>
          <w:sz w:val="44"/>
          <w:szCs w:val="44"/>
        </w:rPr>
        <w:t>ly</w:t>
      </w:r>
      <w:r w:rsidR="00CB424D" w:rsidRPr="00053804">
        <w:rPr>
          <w:rFonts w:eastAsia="Times New Roman" w:cstheme="minorHAnsi"/>
          <w:b/>
          <w:bCs/>
          <w:color w:val="005EA4"/>
          <w:sz w:val="44"/>
          <w:szCs w:val="44"/>
        </w:rPr>
        <w:t xml:space="preserve"> </w:t>
      </w:r>
      <w:r w:rsidR="00C309DD" w:rsidRPr="00053804">
        <w:rPr>
          <w:rFonts w:eastAsia="Times New Roman" w:cstheme="minorHAnsi"/>
          <w:b/>
          <w:bCs/>
          <w:color w:val="005EA4"/>
          <w:sz w:val="44"/>
          <w:szCs w:val="44"/>
        </w:rPr>
        <w:t>202</w:t>
      </w:r>
      <w:r w:rsidR="00805E10" w:rsidRPr="00053804">
        <w:rPr>
          <w:rFonts w:eastAsia="Times New Roman" w:cstheme="minorHAnsi"/>
          <w:b/>
          <w:bCs/>
          <w:color w:val="005EA4"/>
          <w:sz w:val="44"/>
          <w:szCs w:val="44"/>
        </w:rPr>
        <w:t>5</w:t>
      </w:r>
      <w:r w:rsidR="00CE7DF2" w:rsidRPr="00053804">
        <w:rPr>
          <w:rFonts w:eastAsia="Times New Roman" w:cstheme="minorHAnsi"/>
          <w:b/>
          <w:bCs/>
          <w:color w:val="005EA4"/>
          <w:sz w:val="44"/>
          <w:szCs w:val="44"/>
        </w:rPr>
        <w:t xml:space="preserve"> Market </w:t>
      </w:r>
      <w:r w:rsidR="00834733" w:rsidRPr="00053804">
        <w:rPr>
          <w:rFonts w:eastAsia="Times New Roman" w:cstheme="minorHAnsi"/>
          <w:b/>
          <w:bCs/>
          <w:color w:val="005EA4"/>
          <w:sz w:val="44"/>
          <w:szCs w:val="44"/>
        </w:rPr>
        <w:t>Recap</w:t>
      </w:r>
      <w:r w:rsidR="00CE7DF2" w:rsidRPr="00053804">
        <w:rPr>
          <w:rFonts w:eastAsia="Times New Roman" w:cstheme="minorHAnsi"/>
          <w:b/>
          <w:bCs/>
          <w:color w:val="005EA4"/>
          <w:sz w:val="44"/>
          <w:szCs w:val="44"/>
        </w:rPr>
        <w:t xml:space="preserve"> </w:t>
      </w:r>
    </w:p>
    <w:p w14:paraId="498CF98A" w14:textId="77777777" w:rsidR="00FD5531" w:rsidRPr="00126EFF" w:rsidRDefault="001C50E7" w:rsidP="00BF0243">
      <w:pPr>
        <w:pStyle w:val="BodyText"/>
        <w:ind w:left="0" w:right="730"/>
        <w:rPr>
          <w:rFonts w:asciiTheme="minorHAnsi" w:hAnsiTheme="minorHAnsi" w:cstheme="minorHAnsi"/>
          <w:color w:val="58595B"/>
          <w:sz w:val="32"/>
        </w:rPr>
        <w:sectPr w:rsidR="00FD5531" w:rsidRPr="00126EFF"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126EFF">
        <w:rPr>
          <w:rFonts w:asciiTheme="minorHAnsi" w:eastAsia="Proxima Nova Light" w:hAnsiTheme="minorHAnsi" w:cstheme="minorHAnsi"/>
          <w:noProof/>
          <w:color w:val="58595B"/>
          <w:sz w:val="11"/>
          <w:szCs w:val="11"/>
        </w:rPr>
        <mc:AlternateContent>
          <mc:Choice Requires="wpg">
            <w:drawing>
              <wp:anchor distT="0" distB="0" distL="114300" distR="114300" simplePos="0" relativeHeight="251661312"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13C31" id="Group 17" o:spid="_x0000_s1026" style="position:absolute;margin-left:0;margin-top:16.1pt;width:612pt;height:5.8pt;z-index:251661312"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Pr="00126EFF" w:rsidRDefault="00163EA8" w:rsidP="00163EA8">
      <w:pPr>
        <w:rPr>
          <w:rFonts w:cstheme="minorHAnsi"/>
          <w:color w:val="58595B"/>
        </w:rPr>
      </w:pPr>
    </w:p>
    <w:p w14:paraId="43A85DD6" w14:textId="77777777" w:rsidR="009A448E" w:rsidRPr="00124661" w:rsidRDefault="009A448E" w:rsidP="009A448E">
      <w:pPr>
        <w:rPr>
          <w:rFonts w:cstheme="minorHAnsi"/>
          <w:color w:val="58595B"/>
        </w:rPr>
      </w:pPr>
      <w:r w:rsidRPr="00124661">
        <w:rPr>
          <w:rFonts w:cstheme="minorHAnsi"/>
          <w:color w:val="58595B"/>
        </w:rPr>
        <w:t xml:space="preserve">The markets continued to power higher in July -- setting a fresh series of all-time highs – despite on-going uncertainty over the Trump administration's trade policies. The Federal Reserve (Fed) also met, kept interest rates the same, but showed dissention among the ranks. The first US growth numbers were positive but revealed areas of concern. The labor report beat expectations but also had weaknesses. </w:t>
      </w:r>
    </w:p>
    <w:p w14:paraId="2D24B9AE" w14:textId="77777777" w:rsidR="009A448E" w:rsidRPr="004C54A2" w:rsidRDefault="009A448E" w:rsidP="009A448E">
      <w:pPr>
        <w:pStyle w:val="Heading2"/>
        <w:rPr>
          <w:rFonts w:asciiTheme="minorHAnsi" w:hAnsiTheme="minorHAnsi" w:cstheme="minorHAnsi"/>
          <w:color w:val="005EA4"/>
        </w:rPr>
      </w:pPr>
      <w:r w:rsidRPr="004C54A2">
        <w:rPr>
          <w:rFonts w:asciiTheme="minorHAnsi" w:hAnsiTheme="minorHAnsi" w:cstheme="minorHAnsi"/>
          <w:color w:val="005EA4"/>
        </w:rPr>
        <w:t>Markets Push Higher for Another Month</w:t>
      </w:r>
    </w:p>
    <w:p w14:paraId="74F40101" w14:textId="77777777" w:rsidR="009A448E" w:rsidRPr="00124661" w:rsidRDefault="009A448E" w:rsidP="009A448E">
      <w:pPr>
        <w:rPr>
          <w:rFonts w:cstheme="minorHAnsi"/>
          <w:color w:val="58595B"/>
        </w:rPr>
      </w:pPr>
      <w:r w:rsidRPr="00124661">
        <w:rPr>
          <w:rFonts w:cstheme="minorHAnsi"/>
          <w:color w:val="58595B"/>
        </w:rPr>
        <w:t>The markets added to their latest streak of all-time highs in July. The NASDAQ Composite Index (COMP) led the way higher again, gaining 3.7% during the month, while the broad market S&amp;P 500® (SPX) was up 2.2%. The popular Dow Jones Industrial Average® (DJIA) eked out a gain in July.</w:t>
      </w:r>
    </w:p>
    <w:p w14:paraId="7E61031A" w14:textId="77777777" w:rsidR="004C54A2" w:rsidRPr="00124661" w:rsidRDefault="004C54A2" w:rsidP="009A448E">
      <w:pPr>
        <w:rPr>
          <w:rFonts w:cstheme="minorHAnsi"/>
          <w:color w:val="58595B"/>
        </w:rPr>
      </w:pPr>
    </w:p>
    <w:p w14:paraId="4FD7776D" w14:textId="77777777" w:rsidR="009A448E" w:rsidRDefault="009A448E" w:rsidP="009A448E">
      <w:pPr>
        <w:rPr>
          <w:rFonts w:cstheme="minorHAnsi"/>
          <w:color w:val="58595B"/>
        </w:rPr>
      </w:pPr>
      <w:r w:rsidRPr="00124661">
        <w:rPr>
          <w:rFonts w:cstheme="minorHAnsi"/>
          <w:color w:val="58595B"/>
        </w:rPr>
        <w:t xml:space="preserve">The markets are supported by a continuing string of positive economic reports, strong earnings reports (especially in tech), and a central bank that is showing cracks in its typical solid front. Investors also appear to continue to take the Trump administration's unpredictable trade policies in stride, viewing them more a strategic tactic or bargaining chip than a long-term shift. And even though there are budding indications that tariffs will push up prices, the hard evidence has not shown up yet and will likely take months to do so. </w:t>
      </w:r>
    </w:p>
    <w:p w14:paraId="2D9E403D" w14:textId="77777777" w:rsidR="00E76A5C" w:rsidRDefault="00E76A5C" w:rsidP="009A448E">
      <w:pPr>
        <w:rPr>
          <w:rFonts w:cstheme="minorHAnsi"/>
          <w:color w:val="58595B"/>
        </w:rPr>
      </w:pPr>
    </w:p>
    <w:p w14:paraId="284A9595" w14:textId="77777777" w:rsidR="00E76A5C" w:rsidRPr="00124661" w:rsidRDefault="00E76A5C" w:rsidP="009A448E">
      <w:pPr>
        <w:rPr>
          <w:rFonts w:cstheme="minorHAnsi"/>
          <w:color w:val="58595B"/>
        </w:rPr>
      </w:pPr>
    </w:p>
    <w:p w14:paraId="180D7860" w14:textId="455E070E" w:rsidR="009A448E" w:rsidRPr="00FB0056" w:rsidRDefault="009A448E" w:rsidP="00E76A5C">
      <w:pPr>
        <w:jc w:val="center"/>
        <w:rPr>
          <w:rFonts w:cstheme="minorHAnsi"/>
        </w:rPr>
      </w:pPr>
      <w:r w:rsidRPr="00FB0056">
        <w:rPr>
          <w:rFonts w:cstheme="minorHAnsi"/>
          <w:noProof/>
        </w:rPr>
        <w:drawing>
          <wp:inline distT="0" distB="0" distL="0" distR="0" wp14:anchorId="7F9F70FF" wp14:editId="22BEDB01">
            <wp:extent cx="5943600" cy="3714750"/>
            <wp:effectExtent l="19050" t="19050" r="19050" b="19050"/>
            <wp:docPr id="647295410" name="Picture 1" descr="A graph showing the price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295410" name="Picture 1" descr="A graph showing the price of a stock market&#10;&#10;AI-generated content may be incorrect."/>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943600" cy="3714750"/>
                    </a:xfrm>
                    <a:prstGeom prst="rect">
                      <a:avLst/>
                    </a:prstGeom>
                    <a:ln>
                      <a:solidFill>
                        <a:schemeClr val="accent1"/>
                      </a:solidFill>
                    </a:ln>
                  </pic:spPr>
                </pic:pic>
              </a:graphicData>
            </a:graphic>
          </wp:inline>
        </w:drawing>
      </w:r>
    </w:p>
    <w:p w14:paraId="57CFC44E" w14:textId="77777777" w:rsidR="009A448E" w:rsidRDefault="009A448E" w:rsidP="009A448E">
      <w:pPr>
        <w:jc w:val="center"/>
        <w:rPr>
          <w:rFonts w:cstheme="minorHAnsi"/>
        </w:rPr>
      </w:pPr>
      <w:r w:rsidRPr="00FB0056">
        <w:rPr>
          <w:rFonts w:cstheme="minorHAnsi"/>
        </w:rPr>
        <w:t xml:space="preserve">Source: </w:t>
      </w:r>
      <w:hyperlink r:id="rId20" w:history="1">
        <w:r w:rsidRPr="00FB0056">
          <w:rPr>
            <w:rStyle w:val="Hyperlink"/>
            <w:rFonts w:cstheme="minorHAnsi"/>
          </w:rPr>
          <w:t>Wall Street Journal</w:t>
        </w:r>
      </w:hyperlink>
    </w:p>
    <w:p w14:paraId="4ADE6864" w14:textId="77777777" w:rsidR="00E76A5C" w:rsidRPr="00FB0056" w:rsidRDefault="00E76A5C" w:rsidP="009A448E">
      <w:pPr>
        <w:jc w:val="center"/>
        <w:rPr>
          <w:rFonts w:cstheme="minorHAnsi"/>
        </w:rPr>
      </w:pPr>
    </w:p>
    <w:p w14:paraId="58AABE79" w14:textId="2B133EAD" w:rsidR="009A448E" w:rsidRPr="00E76A5C" w:rsidRDefault="009A448E" w:rsidP="009A448E">
      <w:pPr>
        <w:pStyle w:val="Heading2"/>
        <w:rPr>
          <w:rFonts w:asciiTheme="minorHAnsi" w:hAnsiTheme="minorHAnsi" w:cstheme="minorHAnsi"/>
          <w:color w:val="005EA4"/>
        </w:rPr>
      </w:pPr>
      <w:r w:rsidRPr="00E76A5C">
        <w:rPr>
          <w:rFonts w:asciiTheme="minorHAnsi" w:hAnsiTheme="minorHAnsi" w:cstheme="minorHAnsi"/>
          <w:color w:val="005EA4"/>
        </w:rPr>
        <w:t>Fed Holds Rates Steady Amid Rising Dissent</w:t>
      </w:r>
    </w:p>
    <w:p w14:paraId="295A1581" w14:textId="1BDBA8CF" w:rsidR="009A448E" w:rsidRPr="008C31AD" w:rsidRDefault="009A448E" w:rsidP="009A448E">
      <w:pPr>
        <w:rPr>
          <w:rFonts w:cstheme="minorHAnsi"/>
          <w:color w:val="58595B"/>
        </w:rPr>
      </w:pPr>
      <w:r w:rsidRPr="008C31AD">
        <w:rPr>
          <w:rFonts w:cstheme="minorHAnsi"/>
          <w:color w:val="58595B"/>
        </w:rPr>
        <w:t xml:space="preserve">Taking no one by surprise the Fed held rates steady during its latest meeting at the end of July. The policy setting Federal </w:t>
      </w:r>
      <w:r w:rsidRPr="008C31AD">
        <w:rPr>
          <w:rFonts w:cstheme="minorHAnsi"/>
          <w:color w:val="58595B"/>
        </w:rPr>
        <w:lastRenderedPageBreak/>
        <w:t xml:space="preserve">Open Market Committee (FOMC) kept the federal funds rate – the overnight borrowing cost between banks – in the target window of 4.25% to 4.5%, the same place it's been since December. </w:t>
      </w:r>
    </w:p>
    <w:p w14:paraId="69CE10A4" w14:textId="77777777" w:rsidR="008C31AD" w:rsidRPr="00FB0056" w:rsidRDefault="008C31AD" w:rsidP="009A448E">
      <w:pPr>
        <w:rPr>
          <w:rFonts w:cstheme="minorHAnsi"/>
        </w:rPr>
      </w:pPr>
    </w:p>
    <w:p w14:paraId="7FF7BEC4" w14:textId="77777777" w:rsidR="009A448E" w:rsidRPr="008C31AD" w:rsidRDefault="009A448E" w:rsidP="009A448E">
      <w:pPr>
        <w:rPr>
          <w:rFonts w:cstheme="minorHAnsi"/>
          <w:color w:val="58595B"/>
        </w:rPr>
      </w:pPr>
      <w:r w:rsidRPr="008C31AD">
        <w:rPr>
          <w:rFonts w:cstheme="minorHAnsi"/>
          <w:color w:val="58595B"/>
        </w:rPr>
        <w:t>But for the first time in 30 years, two members of the Board of Governors -- Christopher Waller and vice-chair for supervision Michelle Bowman – dissented from the Board's decision, preferring to cut rates by a 0.25%. Both Waller and Bowman are Trump appointees. The Fed has come under increasing pressure from the Trump administration to cut rates.</w:t>
      </w:r>
    </w:p>
    <w:p w14:paraId="2CDC8842" w14:textId="77777777" w:rsidR="008C31AD" w:rsidRPr="008C31AD" w:rsidRDefault="008C31AD" w:rsidP="009A448E">
      <w:pPr>
        <w:rPr>
          <w:rFonts w:cstheme="minorHAnsi"/>
          <w:color w:val="58595B"/>
        </w:rPr>
      </w:pPr>
    </w:p>
    <w:p w14:paraId="5E5E5B4A" w14:textId="77777777" w:rsidR="009A448E" w:rsidRPr="008C31AD" w:rsidRDefault="009A448E" w:rsidP="009A448E">
      <w:pPr>
        <w:rPr>
          <w:rFonts w:cstheme="minorHAnsi"/>
          <w:color w:val="58595B"/>
        </w:rPr>
      </w:pPr>
      <w:r w:rsidRPr="008C31AD">
        <w:rPr>
          <w:rFonts w:cstheme="minorHAnsi"/>
          <w:color w:val="58595B"/>
        </w:rPr>
        <w:t>According to the FOMC statement released after the meeting, the Fed remains "attentive" to its dual mandate of maximum employment and stable prices but that "uncertainty about the economic outlook remains elevated."</w:t>
      </w:r>
    </w:p>
    <w:p w14:paraId="50262179" w14:textId="77777777" w:rsidR="008C31AD" w:rsidRPr="008C31AD" w:rsidRDefault="008C31AD" w:rsidP="009A448E">
      <w:pPr>
        <w:rPr>
          <w:rFonts w:cstheme="minorHAnsi"/>
          <w:color w:val="58595B"/>
        </w:rPr>
      </w:pPr>
    </w:p>
    <w:p w14:paraId="702E724B" w14:textId="26B9F057" w:rsidR="00E76A5C" w:rsidRPr="00E76A5C" w:rsidRDefault="009A448E" w:rsidP="00E76A5C">
      <w:pPr>
        <w:rPr>
          <w:rFonts w:cstheme="minorHAnsi"/>
        </w:rPr>
      </w:pPr>
      <w:r w:rsidRPr="008C31AD">
        <w:rPr>
          <w:rFonts w:cstheme="minorHAnsi"/>
          <w:color w:val="58595B"/>
        </w:rPr>
        <w:t>Tariffs continue to play a key role in that uncertainty. During a post-meeting press conference, Fed chair Jerome Powell said that "higher tariffs have begun to show more clearly to prices of some goods, but their overall effects on economic activity and inflation remain to be seen." When asked about a potential cut in September, Powell said the economy isn't being held back by its restrictive rate policy.</w:t>
      </w:r>
      <w:r w:rsidRPr="00FB0056">
        <w:rPr>
          <w:rFonts w:cstheme="minorHAnsi"/>
        </w:rPr>
        <w:t xml:space="preserve"> </w:t>
      </w:r>
      <w:hyperlink r:id="rId21" w:history="1">
        <w:r w:rsidRPr="00FB0056">
          <w:rPr>
            <w:rStyle w:val="Hyperlink"/>
            <w:rFonts w:cstheme="minorHAnsi"/>
          </w:rPr>
          <w:t>Axios</w:t>
        </w:r>
      </w:hyperlink>
      <w:r w:rsidRPr="00FB0056">
        <w:rPr>
          <w:rFonts w:cstheme="minorHAnsi"/>
        </w:rPr>
        <w:t xml:space="preserve">, </w:t>
      </w:r>
      <w:hyperlink r:id="rId22" w:history="1">
        <w:r w:rsidRPr="00FB0056">
          <w:rPr>
            <w:rStyle w:val="Hyperlink"/>
            <w:rFonts w:cstheme="minorHAnsi"/>
          </w:rPr>
          <w:t>Federal Reserve</w:t>
        </w:r>
      </w:hyperlink>
    </w:p>
    <w:p w14:paraId="28461C4B" w14:textId="1BF063B9" w:rsidR="009A448E" w:rsidRPr="008C31AD" w:rsidRDefault="009A448E" w:rsidP="00E76A5C">
      <w:pPr>
        <w:pStyle w:val="Heading2"/>
        <w:rPr>
          <w:rFonts w:asciiTheme="minorHAnsi" w:hAnsiTheme="minorHAnsi" w:cstheme="minorHAnsi"/>
          <w:color w:val="005EA4"/>
        </w:rPr>
      </w:pPr>
      <w:r w:rsidRPr="008C31AD">
        <w:rPr>
          <w:rFonts w:asciiTheme="minorHAnsi" w:hAnsiTheme="minorHAnsi" w:cstheme="minorHAnsi"/>
          <w:color w:val="005EA4"/>
        </w:rPr>
        <w:t xml:space="preserve">US Economy Surprises </w:t>
      </w:r>
    </w:p>
    <w:p w14:paraId="24B82B43" w14:textId="77777777" w:rsidR="009A448E" w:rsidRPr="008C31AD" w:rsidRDefault="009A448E" w:rsidP="009A448E">
      <w:pPr>
        <w:rPr>
          <w:rFonts w:cstheme="minorHAnsi"/>
          <w:color w:val="58595B"/>
        </w:rPr>
      </w:pPr>
      <w:r w:rsidRPr="008C31AD">
        <w:rPr>
          <w:rFonts w:cstheme="minorHAnsi"/>
          <w:color w:val="58595B"/>
        </w:rPr>
        <w:t xml:space="preserve">According to the latest data from the Bureau of Economic Analysis, the US economy grew at a solid pace during the second quarter. Gross Domestic Product (GDP) jumped to a 3% annual rate during the April to June period, far outpacing estimates calling for a 2.3% rise. The first or "Advanced" estimate of growth also showed that the economy abruptly reversed the 0.5% decline booked during the first quarter. </w:t>
      </w:r>
    </w:p>
    <w:p w14:paraId="2D5412E6" w14:textId="77777777" w:rsidR="008C31AD" w:rsidRPr="008C31AD" w:rsidRDefault="008C31AD" w:rsidP="009A448E">
      <w:pPr>
        <w:rPr>
          <w:rFonts w:cstheme="minorHAnsi"/>
          <w:color w:val="58595B"/>
        </w:rPr>
      </w:pPr>
    </w:p>
    <w:p w14:paraId="48605DCA" w14:textId="77777777" w:rsidR="009A448E" w:rsidRPr="008C31AD" w:rsidRDefault="009A448E" w:rsidP="009A448E">
      <w:pPr>
        <w:rPr>
          <w:rFonts w:cstheme="minorHAnsi"/>
          <w:color w:val="58595B"/>
        </w:rPr>
      </w:pPr>
      <w:r w:rsidRPr="008C31AD">
        <w:rPr>
          <w:rFonts w:cstheme="minorHAnsi"/>
          <w:color w:val="58595B"/>
        </w:rPr>
        <w:t>The better-than-expected performance was likely due to a 30% drop in imports, reversing a 38% surge during the first quarter. Rising imports make GDP worse since they subtract from production numbers while falling imports make GDP better since they add to production numbers.</w:t>
      </w:r>
    </w:p>
    <w:p w14:paraId="180D2E63" w14:textId="77777777" w:rsidR="008C31AD" w:rsidRPr="008C31AD" w:rsidRDefault="008C31AD" w:rsidP="009A448E">
      <w:pPr>
        <w:rPr>
          <w:rFonts w:cstheme="minorHAnsi"/>
          <w:color w:val="58595B"/>
        </w:rPr>
      </w:pPr>
    </w:p>
    <w:p w14:paraId="33FAEDEB" w14:textId="77777777" w:rsidR="009A448E" w:rsidRPr="008C31AD" w:rsidRDefault="009A448E" w:rsidP="009A448E">
      <w:pPr>
        <w:rPr>
          <w:rFonts w:cstheme="minorHAnsi"/>
          <w:color w:val="58595B"/>
        </w:rPr>
      </w:pPr>
      <w:r w:rsidRPr="008C31AD">
        <w:rPr>
          <w:rFonts w:cstheme="minorHAnsi"/>
          <w:color w:val="58595B"/>
        </w:rPr>
        <w:t>The GDP numbers showed strength across key areas of the US economy without benefiting from a rise in federal government spending, which declined almost 4% during the period.</w:t>
      </w:r>
    </w:p>
    <w:p w14:paraId="7BCA7C60" w14:textId="77777777" w:rsidR="008C31AD" w:rsidRPr="008C31AD" w:rsidRDefault="008C31AD" w:rsidP="009A448E">
      <w:pPr>
        <w:rPr>
          <w:rFonts w:cstheme="minorHAnsi"/>
          <w:color w:val="58595B"/>
        </w:rPr>
      </w:pPr>
    </w:p>
    <w:p w14:paraId="3C861A8D" w14:textId="77777777" w:rsidR="009A448E" w:rsidRPr="00FB0056" w:rsidRDefault="009A448E" w:rsidP="009A448E">
      <w:pPr>
        <w:rPr>
          <w:rFonts w:cstheme="minorHAnsi"/>
        </w:rPr>
      </w:pPr>
      <w:r w:rsidRPr="008C31AD">
        <w:rPr>
          <w:rFonts w:cstheme="minorHAnsi"/>
          <w:color w:val="58595B"/>
        </w:rPr>
        <w:t>Consumer spending – a key data point since it accounts for about three-fourths of US economic activity – came in at 1.4% in the second quarter, significantly better than the 0.5% growth rate recorded during the first quarter, but still lackluster.</w:t>
      </w:r>
      <w:r w:rsidRPr="00FB0056">
        <w:rPr>
          <w:rFonts w:cstheme="minorHAnsi"/>
        </w:rPr>
        <w:t xml:space="preserve"> </w:t>
      </w:r>
      <w:hyperlink r:id="rId23" w:history="1">
        <w:r w:rsidRPr="00FB0056">
          <w:rPr>
            <w:rStyle w:val="Hyperlink"/>
            <w:rFonts w:cstheme="minorHAnsi"/>
          </w:rPr>
          <w:t>CNBC</w:t>
        </w:r>
      </w:hyperlink>
    </w:p>
    <w:p w14:paraId="7FB56651" w14:textId="77777777" w:rsidR="009A448E" w:rsidRPr="00FB0056" w:rsidRDefault="009A448E" w:rsidP="009A448E">
      <w:pPr>
        <w:pStyle w:val="Heading2"/>
        <w:rPr>
          <w:rFonts w:asciiTheme="minorHAnsi" w:hAnsiTheme="minorHAnsi" w:cstheme="minorHAnsi"/>
        </w:rPr>
      </w:pPr>
      <w:r w:rsidRPr="008C31AD">
        <w:rPr>
          <w:rFonts w:asciiTheme="minorHAnsi" w:hAnsiTheme="minorHAnsi" w:cstheme="minorHAnsi"/>
          <w:color w:val="005EA4"/>
        </w:rPr>
        <w:t>Hiring Beats Forecasts</w:t>
      </w:r>
    </w:p>
    <w:p w14:paraId="6D231C1F" w14:textId="77777777" w:rsidR="009A448E" w:rsidRPr="008C31AD" w:rsidRDefault="009A448E" w:rsidP="009A448E">
      <w:pPr>
        <w:spacing w:after="160" w:line="259" w:lineRule="auto"/>
        <w:rPr>
          <w:rFonts w:cstheme="minorHAnsi"/>
          <w:color w:val="58595B"/>
        </w:rPr>
      </w:pPr>
      <w:r w:rsidRPr="008C31AD">
        <w:rPr>
          <w:rFonts w:cstheme="minorHAnsi"/>
          <w:color w:val="58595B"/>
        </w:rPr>
        <w:t>The US labor market added 147,000 jobs in June, significantly beating out estimates, which called for an increase of 118,000 jobs. June's numbers were also an improvement over May's 144,000 jobs. According to the US Bureau of Labor Statistics, the unemployment rate was 4.2% in June, also better than forecasts, which expected a jobless rate of 4.3%.</w:t>
      </w:r>
    </w:p>
    <w:p w14:paraId="76FAC446" w14:textId="77777777" w:rsidR="009A448E" w:rsidRPr="008C31AD" w:rsidRDefault="009A448E" w:rsidP="009A448E">
      <w:pPr>
        <w:spacing w:after="160" w:line="259" w:lineRule="auto"/>
        <w:rPr>
          <w:rFonts w:cstheme="minorHAnsi"/>
          <w:color w:val="58595B"/>
        </w:rPr>
      </w:pPr>
      <w:r w:rsidRPr="008C31AD">
        <w:rPr>
          <w:rFonts w:cstheme="minorHAnsi"/>
          <w:color w:val="58595B"/>
        </w:rPr>
        <w:t xml:space="preserve">Jobs in healthcare increased by 39,000 while state and local governments added 47,000 and 33,000 jobs respectively. Average hourly wages rose 0.2% from May and a modest 3.7% from a year earlier. </w:t>
      </w:r>
    </w:p>
    <w:p w14:paraId="0D48AABE" w14:textId="77777777" w:rsidR="009A448E" w:rsidRPr="008C31AD" w:rsidRDefault="009A448E" w:rsidP="009A448E">
      <w:pPr>
        <w:spacing w:after="160" w:line="259" w:lineRule="auto"/>
        <w:rPr>
          <w:rFonts w:cstheme="minorHAnsi"/>
          <w:color w:val="58595B"/>
        </w:rPr>
      </w:pPr>
      <w:r w:rsidRPr="008C31AD">
        <w:rPr>
          <w:rFonts w:cstheme="minorHAnsi"/>
          <w:color w:val="58595B"/>
        </w:rPr>
        <w:t>However, private companies hired only 74,000 workers in June, about half the 137,000 added in May. That marked the smallest number of private company hires since last October, a month that suffered significant labor disruptions.</w:t>
      </w:r>
    </w:p>
    <w:p w14:paraId="37CAF17F" w14:textId="30E7D6DE" w:rsidR="009A448E" w:rsidRPr="00FB0056" w:rsidRDefault="009A448E" w:rsidP="009A448E">
      <w:pPr>
        <w:spacing w:after="160" w:line="259" w:lineRule="auto"/>
        <w:rPr>
          <w:rFonts w:cstheme="minorHAnsi"/>
        </w:rPr>
      </w:pPr>
      <w:r w:rsidRPr="008C31AD">
        <w:rPr>
          <w:rFonts w:cstheme="minorHAnsi"/>
          <w:color w:val="58595B"/>
        </w:rPr>
        <w:t xml:space="preserve">Plus, even with a low employment rate, June's report showed that discouraged workers – those that believe no jobs are available to them – increased by 256,000 to 637,000. Rising discouraged workers is an indication of a weakening job market. </w:t>
      </w:r>
      <w:hyperlink r:id="rId24" w:history="1">
        <w:r w:rsidRPr="00FB0056">
          <w:rPr>
            <w:rStyle w:val="Hyperlink"/>
            <w:rFonts w:cstheme="minorHAnsi"/>
          </w:rPr>
          <w:t>AP News</w:t>
        </w:r>
      </w:hyperlink>
      <w:r w:rsidR="00055C2B">
        <w:t xml:space="preserve"> </w:t>
      </w:r>
    </w:p>
    <w:p w14:paraId="642DE185" w14:textId="77777777" w:rsidR="00E729B6" w:rsidRPr="00126EFF" w:rsidRDefault="00E729B6" w:rsidP="00E729B6">
      <w:pPr>
        <w:rPr>
          <w:rFonts w:eastAsia="Avenir" w:cstheme="minorHAnsi"/>
          <w:color w:val="58595B"/>
        </w:rPr>
      </w:pPr>
    </w:p>
    <w:p w14:paraId="6559A5B9" w14:textId="559EF8D0" w:rsidR="00BA3AC9" w:rsidRPr="00126EFF" w:rsidRDefault="00BA3AC9" w:rsidP="006F28A9">
      <w:pPr>
        <w:ind w:right="360"/>
        <w:rPr>
          <w:rFonts w:eastAsia="Avenir" w:cstheme="minorHAnsi"/>
          <w:color w:val="58595B"/>
          <w:sz w:val="16"/>
          <w:szCs w:val="16"/>
        </w:rPr>
      </w:pPr>
      <w:r w:rsidRPr="00126EFF">
        <w:rPr>
          <w:rFonts w:eastAsia="Avenir" w:cstheme="minorHAnsi"/>
          <w:color w:val="58595B"/>
          <w:sz w:val="16"/>
          <w:szCs w:val="16"/>
        </w:rPr>
        <w:t xml:space="preserve">This research material was prepared by </w:t>
      </w:r>
      <w:r w:rsidR="00C64F63" w:rsidRPr="00126EFF">
        <w:rPr>
          <w:rFonts w:eastAsia="Avenir" w:cstheme="minorHAnsi"/>
          <w:color w:val="58595B"/>
          <w:sz w:val="16"/>
          <w:szCs w:val="16"/>
        </w:rPr>
        <w:t>Burritt Research, Inc</w:t>
      </w:r>
      <w:r w:rsidRPr="00126EFF">
        <w:rPr>
          <w:rFonts w:eastAsia="Avenir" w:cstheme="minorHAnsi"/>
          <w:color w:val="58595B"/>
          <w:sz w:val="16"/>
          <w:szCs w:val="16"/>
        </w:rPr>
        <w:t>.</w:t>
      </w:r>
    </w:p>
    <w:p w14:paraId="6645C804" w14:textId="77777777" w:rsidR="00FE629C" w:rsidRPr="00126EFF" w:rsidRDefault="00FE629C" w:rsidP="006F28A9">
      <w:pPr>
        <w:ind w:right="360"/>
        <w:rPr>
          <w:rFonts w:eastAsia="Avenir" w:cstheme="minorHAnsi"/>
          <w:color w:val="58595B"/>
          <w:sz w:val="16"/>
          <w:szCs w:val="16"/>
        </w:rPr>
      </w:pPr>
    </w:p>
    <w:p w14:paraId="099737C6" w14:textId="77777777" w:rsidR="00B106D8" w:rsidRPr="00126EFF" w:rsidRDefault="00B106D8" w:rsidP="00B106D8">
      <w:pPr>
        <w:ind w:right="360"/>
        <w:rPr>
          <w:rFonts w:eastAsia="Avenir" w:cstheme="minorHAnsi"/>
          <w:b/>
          <w:color w:val="58595B"/>
          <w:sz w:val="16"/>
          <w:szCs w:val="16"/>
        </w:rPr>
      </w:pPr>
      <w:r w:rsidRPr="00126EFF">
        <w:rPr>
          <w:rFonts w:eastAsia="Avenir" w:cstheme="minorHAnsi"/>
          <w:color w:val="58595B"/>
          <w:sz w:val="16"/>
          <w:szCs w:val="16"/>
        </w:rPr>
        <w:t xml:space="preserve">This material represents an assessment of the market and economic environment at a specific point in time and is not intended to be a forecast of future </w:t>
      </w:r>
      <w:r w:rsidRPr="00126EFF">
        <w:rPr>
          <w:rFonts w:eastAsia="Avenir" w:cstheme="minorHAnsi"/>
          <w:color w:val="58595B"/>
          <w:sz w:val="16"/>
          <w:szCs w:val="16"/>
        </w:rPr>
        <w:lastRenderedPageBreak/>
        <w:t xml:space="preserve">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sidRPr="00126EFF">
        <w:rPr>
          <w:rFonts w:eastAsia="Avenir" w:cstheme="minorHAnsi"/>
          <w:b/>
          <w:color w:val="58595B"/>
          <w:sz w:val="16"/>
          <w:szCs w:val="16"/>
        </w:rPr>
        <w:t>Past performance does not guarantee future results.</w:t>
      </w:r>
    </w:p>
    <w:p w14:paraId="094364AD" w14:textId="77777777" w:rsidR="00B106D8" w:rsidRPr="00126EFF" w:rsidRDefault="00B106D8" w:rsidP="00B106D8">
      <w:pPr>
        <w:ind w:right="360"/>
        <w:rPr>
          <w:rFonts w:eastAsia="Avenir" w:cstheme="minorHAnsi"/>
          <w:b/>
          <w:color w:val="58595B"/>
          <w:sz w:val="16"/>
          <w:szCs w:val="16"/>
        </w:rPr>
      </w:pPr>
    </w:p>
    <w:p w14:paraId="7979E7BB" w14:textId="77777777"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77777777" w:rsidR="00B106D8" w:rsidRPr="00126EFF" w:rsidRDefault="00B106D8" w:rsidP="00B106D8">
      <w:pPr>
        <w:ind w:right="360"/>
        <w:rPr>
          <w:rFonts w:eastAsia="Avenir" w:cstheme="minorHAnsi"/>
          <w:color w:val="58595B"/>
          <w:sz w:val="16"/>
          <w:szCs w:val="16"/>
        </w:rPr>
      </w:pPr>
    </w:p>
    <w:p w14:paraId="4AAE2B8F" w14:textId="2DB04373"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16C9F6E7" w14:textId="77777777" w:rsidR="00B106D8" w:rsidRPr="00126EFF" w:rsidRDefault="00B106D8" w:rsidP="00B106D8">
      <w:pPr>
        <w:ind w:right="360"/>
        <w:rPr>
          <w:rFonts w:eastAsia="Avenir" w:cstheme="minorHAnsi"/>
          <w:color w:val="58595B"/>
          <w:sz w:val="16"/>
          <w:szCs w:val="16"/>
        </w:rPr>
      </w:pPr>
    </w:p>
    <w:p w14:paraId="5D11A940" w14:textId="77777777"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126EFF" w:rsidRDefault="00B106D8" w:rsidP="00B106D8">
      <w:pPr>
        <w:ind w:right="360"/>
        <w:rPr>
          <w:rFonts w:eastAsia="Avenir" w:cstheme="minorHAnsi"/>
          <w:color w:val="58595B"/>
          <w:sz w:val="16"/>
          <w:szCs w:val="16"/>
        </w:rPr>
      </w:pPr>
    </w:p>
    <w:p w14:paraId="7A01E923" w14:textId="03889211"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 xml:space="preserve">The Dow Jones Industrial Average (DJIA) is a price-weighted average of 30 actively traded </w:t>
      </w:r>
      <w:r w:rsidR="00E9719E" w:rsidRPr="00126EFF">
        <w:rPr>
          <w:rFonts w:eastAsia="Avenir" w:cstheme="minorHAnsi"/>
          <w:color w:val="58595B"/>
          <w:sz w:val="16"/>
          <w:szCs w:val="16"/>
        </w:rPr>
        <w:t>"</w:t>
      </w:r>
      <w:r w:rsidRPr="00126EFF">
        <w:rPr>
          <w:rFonts w:eastAsia="Avenir" w:cstheme="minorHAnsi"/>
          <w:color w:val="58595B"/>
          <w:sz w:val="16"/>
          <w:szCs w:val="16"/>
        </w:rPr>
        <w:t>blue chip</w:t>
      </w:r>
      <w:r w:rsidR="00E9719E" w:rsidRPr="00126EFF">
        <w:rPr>
          <w:rFonts w:eastAsia="Avenir" w:cstheme="minorHAnsi"/>
          <w:color w:val="58595B"/>
          <w:sz w:val="16"/>
          <w:szCs w:val="16"/>
        </w:rPr>
        <w:t>"</w:t>
      </w:r>
      <w:r w:rsidRPr="00126EFF">
        <w:rPr>
          <w:rFonts w:eastAsia="Avenir" w:cstheme="minorHAnsi"/>
          <w:color w:val="58595B"/>
          <w:sz w:val="16"/>
          <w:szCs w:val="16"/>
        </w:rPr>
        <w:t xml:space="preserve"> stocks, primarily industrials, but includes financials and other service-oriented companies. The components, which change from time to time, represent between 15% and 20% of the market value of NYSE stocks.</w:t>
      </w:r>
    </w:p>
    <w:p w14:paraId="3659DFF2" w14:textId="77777777" w:rsidR="00B106D8" w:rsidRPr="00126EFF" w:rsidRDefault="00B106D8" w:rsidP="00B106D8">
      <w:pPr>
        <w:ind w:right="360"/>
        <w:rPr>
          <w:rFonts w:eastAsia="Avenir" w:cstheme="minorHAnsi"/>
          <w:color w:val="58595B"/>
          <w:sz w:val="16"/>
          <w:szCs w:val="16"/>
        </w:rPr>
      </w:pPr>
    </w:p>
    <w:p w14:paraId="30F1270C" w14:textId="3C13E34A"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126EFF">
        <w:rPr>
          <w:rFonts w:eastAsia="Avenir" w:cstheme="minorHAnsi"/>
          <w:color w:val="58595B"/>
          <w:sz w:val="16"/>
          <w:szCs w:val="16"/>
        </w:rPr>
        <w:t>S</w:t>
      </w:r>
      <w:r w:rsidRPr="00126EFF">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126EFF" w:rsidRDefault="00B106D8" w:rsidP="00B106D8">
      <w:pPr>
        <w:ind w:right="360"/>
        <w:rPr>
          <w:rFonts w:eastAsia="Avenir" w:cstheme="minorHAnsi"/>
          <w:color w:val="58595B"/>
          <w:sz w:val="16"/>
          <w:szCs w:val="16"/>
        </w:rPr>
      </w:pPr>
    </w:p>
    <w:p w14:paraId="2C6F803A" w14:textId="38C12ED9" w:rsidR="00B106D8" w:rsidRPr="00126EFF" w:rsidRDefault="00B106D8" w:rsidP="00B106D8">
      <w:pPr>
        <w:ind w:right="360"/>
        <w:rPr>
          <w:rFonts w:eastAsia="Avenir" w:cstheme="minorHAnsi"/>
          <w:color w:val="58595B"/>
          <w:sz w:val="16"/>
          <w:szCs w:val="16"/>
        </w:rPr>
      </w:pPr>
      <w:r w:rsidRPr="00126EFF">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126EFF">
        <w:rPr>
          <w:rFonts w:eastAsia="Avenir" w:cstheme="minorHAnsi"/>
          <w:color w:val="58595B"/>
          <w:sz w:val="16"/>
          <w:szCs w:val="16"/>
        </w:rPr>
        <w:t>'</w:t>
      </w:r>
      <w:r w:rsidRPr="00126EFF">
        <w:rPr>
          <w:rFonts w:eastAsia="Avenir" w:cstheme="minorHAnsi"/>
          <w:color w:val="58595B"/>
          <w:sz w:val="16"/>
          <w:szCs w:val="16"/>
        </w:rPr>
        <w:t xml:space="preserve"> short-term—that is, six-month—outlook for, and sentiment about, the performance of the overall economy as it effects them. The Expectations Index is made up of the average of the CCI components that deal with six-month outlooks for business, employment, and income.</w:t>
      </w:r>
    </w:p>
    <w:p w14:paraId="4C96F867" w14:textId="77777777" w:rsidR="00B106D8" w:rsidRPr="00126EFF" w:rsidRDefault="00B106D8" w:rsidP="00B106D8">
      <w:pPr>
        <w:ind w:right="360"/>
        <w:rPr>
          <w:rFonts w:eastAsia="Avenir" w:cstheme="minorHAnsi"/>
          <w:color w:val="58595B"/>
          <w:sz w:val="16"/>
          <w:szCs w:val="16"/>
        </w:rPr>
      </w:pPr>
    </w:p>
    <w:p w14:paraId="4568CBF8" w14:textId="77777777" w:rsidR="00FC7BD6" w:rsidRPr="00126EFF" w:rsidRDefault="00FC7BD6" w:rsidP="00BF0243">
      <w:pPr>
        <w:widowControl/>
        <w:rPr>
          <w:rFonts w:cstheme="minorHAnsi"/>
          <w:color w:val="58595B"/>
          <w:sz w:val="16"/>
          <w:szCs w:val="16"/>
        </w:rPr>
      </w:pPr>
    </w:p>
    <w:p w14:paraId="38BAF61A" w14:textId="77777777" w:rsidR="00FC7BD6" w:rsidRPr="00126EFF" w:rsidRDefault="00FC7BD6" w:rsidP="00BF0243">
      <w:pPr>
        <w:widowControl/>
        <w:rPr>
          <w:rFonts w:cstheme="minorHAnsi"/>
          <w:color w:val="58595B"/>
          <w:sz w:val="16"/>
          <w:szCs w:val="16"/>
        </w:rPr>
      </w:pPr>
    </w:p>
    <w:p w14:paraId="0A6BBA20" w14:textId="77777777" w:rsidR="00FC7BD6" w:rsidRPr="00126EFF" w:rsidRDefault="00FC7BD6" w:rsidP="00BF0243">
      <w:pPr>
        <w:widowControl/>
        <w:rPr>
          <w:rFonts w:cstheme="minorHAnsi"/>
          <w:color w:val="58595B"/>
          <w:sz w:val="16"/>
          <w:szCs w:val="16"/>
        </w:rPr>
      </w:pPr>
    </w:p>
    <w:p w14:paraId="1E5B4CA4" w14:textId="77777777" w:rsidR="00AC2F68" w:rsidRPr="00126EFF" w:rsidRDefault="00AC2F68" w:rsidP="00BF0243">
      <w:pPr>
        <w:widowControl/>
        <w:rPr>
          <w:rFonts w:cstheme="minorHAnsi"/>
          <w:color w:val="58595B"/>
          <w:sz w:val="16"/>
          <w:szCs w:val="16"/>
        </w:rPr>
      </w:pPr>
    </w:p>
    <w:p w14:paraId="21A20807" w14:textId="77777777" w:rsidR="003423BA" w:rsidRPr="00126EFF" w:rsidRDefault="003423BA" w:rsidP="00BF0243">
      <w:pPr>
        <w:widowControl/>
        <w:rPr>
          <w:rFonts w:cstheme="minorHAnsi"/>
          <w:color w:val="58595B"/>
          <w:sz w:val="16"/>
          <w:szCs w:val="16"/>
        </w:rPr>
      </w:pPr>
    </w:p>
    <w:p w14:paraId="384CED5D" w14:textId="77777777" w:rsidR="008A12E0" w:rsidRPr="00126EFF" w:rsidRDefault="008A12E0" w:rsidP="00BF0243">
      <w:pPr>
        <w:widowControl/>
        <w:rPr>
          <w:rFonts w:cstheme="minorHAnsi"/>
          <w:color w:val="58595B"/>
          <w:sz w:val="16"/>
          <w:szCs w:val="16"/>
        </w:rPr>
      </w:pPr>
    </w:p>
    <w:p w14:paraId="11905BA2" w14:textId="77777777" w:rsidR="00F65C37" w:rsidRDefault="00F65C37" w:rsidP="00BF0243">
      <w:pPr>
        <w:widowControl/>
        <w:rPr>
          <w:rFonts w:cstheme="minorHAnsi"/>
          <w:color w:val="58595B"/>
          <w:sz w:val="16"/>
          <w:szCs w:val="16"/>
        </w:rPr>
      </w:pPr>
    </w:p>
    <w:p w14:paraId="722F1D50" w14:textId="77777777" w:rsidR="00334F31" w:rsidRDefault="00334F31" w:rsidP="00BF0243">
      <w:pPr>
        <w:widowControl/>
        <w:rPr>
          <w:rFonts w:cstheme="minorHAnsi"/>
          <w:color w:val="58595B"/>
          <w:sz w:val="16"/>
          <w:szCs w:val="16"/>
        </w:rPr>
      </w:pPr>
    </w:p>
    <w:p w14:paraId="7FB3C2B0" w14:textId="77777777" w:rsidR="008C31AD" w:rsidRDefault="008C31AD" w:rsidP="00BF0243">
      <w:pPr>
        <w:widowControl/>
        <w:rPr>
          <w:rFonts w:cstheme="minorHAnsi"/>
          <w:color w:val="58595B"/>
          <w:sz w:val="16"/>
          <w:szCs w:val="16"/>
        </w:rPr>
      </w:pPr>
    </w:p>
    <w:p w14:paraId="70CEE53F" w14:textId="77777777" w:rsidR="008F081A" w:rsidRDefault="008F081A" w:rsidP="00BF0243">
      <w:pPr>
        <w:widowControl/>
        <w:rPr>
          <w:rFonts w:cstheme="minorHAnsi"/>
          <w:color w:val="58595B"/>
          <w:sz w:val="16"/>
          <w:szCs w:val="16"/>
        </w:rPr>
      </w:pPr>
    </w:p>
    <w:p w14:paraId="79DAF556" w14:textId="77777777" w:rsidR="008C31AD" w:rsidRPr="00126EFF" w:rsidRDefault="008C31AD" w:rsidP="00BF0243">
      <w:pPr>
        <w:widowControl/>
        <w:rPr>
          <w:rFonts w:cstheme="minorHAnsi"/>
          <w:color w:val="58595B"/>
          <w:sz w:val="16"/>
          <w:szCs w:val="16"/>
        </w:rPr>
      </w:pPr>
    </w:p>
    <w:p w14:paraId="05C49B31" w14:textId="77777777" w:rsidR="00FC7BD6" w:rsidRPr="00126EFF" w:rsidRDefault="00FC7BD6" w:rsidP="00BF0243">
      <w:pPr>
        <w:widowControl/>
        <w:rPr>
          <w:rFonts w:cstheme="minorHAnsi"/>
          <w:color w:val="58595B"/>
          <w:sz w:val="16"/>
          <w:szCs w:val="16"/>
        </w:rPr>
      </w:pPr>
    </w:p>
    <w:p w14:paraId="0BB0043C" w14:textId="35700FBF" w:rsidR="00834733" w:rsidRPr="00126EFF" w:rsidRDefault="00486DA1" w:rsidP="00BF0243">
      <w:pPr>
        <w:widowControl/>
        <w:rPr>
          <w:rFonts w:cstheme="minorHAnsi"/>
          <w:color w:val="58595B"/>
          <w:sz w:val="16"/>
          <w:szCs w:val="16"/>
        </w:rPr>
      </w:pPr>
      <w:r w:rsidRPr="00126EFF">
        <w:rPr>
          <w:rFonts w:cstheme="minorHAnsi"/>
          <w:color w:val="58595B"/>
          <w:sz w:val="16"/>
          <w:szCs w:val="16"/>
        </w:rPr>
        <w:t>©20</w:t>
      </w:r>
      <w:r w:rsidR="00834733" w:rsidRPr="00126EFF">
        <w:rPr>
          <w:rFonts w:cstheme="minorHAnsi"/>
          <w:color w:val="58595B"/>
          <w:sz w:val="16"/>
          <w:szCs w:val="16"/>
        </w:rPr>
        <w:t>2</w:t>
      </w:r>
      <w:r w:rsidR="001C3947" w:rsidRPr="00126EFF">
        <w:rPr>
          <w:rFonts w:cstheme="minorHAnsi"/>
          <w:color w:val="58595B"/>
          <w:sz w:val="16"/>
          <w:szCs w:val="16"/>
        </w:rPr>
        <w:t>5</w:t>
      </w:r>
      <w:r w:rsidRPr="00126EFF">
        <w:rPr>
          <w:rFonts w:cstheme="minorHAnsi"/>
          <w:color w:val="58595B"/>
          <w:sz w:val="16"/>
          <w:szCs w:val="16"/>
        </w:rPr>
        <w:t xml:space="preserve"> Wealthcare Capital Management LLC</w:t>
      </w:r>
      <w:r w:rsidR="00970261" w:rsidRPr="00126EFF">
        <w:rPr>
          <w:rFonts w:cstheme="minorHAnsi"/>
          <w:color w:val="58595B"/>
          <w:sz w:val="16"/>
          <w:szCs w:val="16"/>
        </w:rPr>
        <w:t>,</w:t>
      </w:r>
      <w:r w:rsidR="00E249E2" w:rsidRPr="00126EFF">
        <w:rPr>
          <w:rFonts w:cstheme="minorHAnsi"/>
          <w:color w:val="58595B"/>
          <w:sz w:val="16"/>
          <w:szCs w:val="16"/>
        </w:rPr>
        <w:t xml:space="preserve"> Wealthcare Advisory Partners LLC</w:t>
      </w:r>
      <w:r w:rsidR="00970261" w:rsidRPr="00126EFF">
        <w:rPr>
          <w:rFonts w:cstheme="minorHAnsi"/>
          <w:color w:val="58595B"/>
          <w:sz w:val="16"/>
          <w:szCs w:val="16"/>
        </w:rPr>
        <w:t xml:space="preserve">, and Wealthcare </w:t>
      </w:r>
      <w:r w:rsidR="00462D29" w:rsidRPr="00126EFF">
        <w:rPr>
          <w:rFonts w:cstheme="minorHAnsi"/>
          <w:color w:val="58595B"/>
          <w:sz w:val="16"/>
          <w:szCs w:val="16"/>
        </w:rPr>
        <w:t>Capital Partners LLC</w:t>
      </w:r>
      <w:r w:rsidR="00E249E2" w:rsidRPr="00126EFF">
        <w:rPr>
          <w:rFonts w:cstheme="minorHAnsi"/>
          <w:color w:val="58595B"/>
          <w:sz w:val="16"/>
          <w:szCs w:val="16"/>
        </w:rPr>
        <w:t xml:space="preserve"> </w:t>
      </w:r>
      <w:r w:rsidRPr="00126EFF">
        <w:rPr>
          <w:rFonts w:cstheme="minorHAnsi"/>
          <w:color w:val="58595B"/>
          <w:sz w:val="16"/>
          <w:szCs w:val="16"/>
        </w:rPr>
        <w:t>(</w:t>
      </w:r>
      <w:r w:rsidR="00E15CC8" w:rsidRPr="00126EFF">
        <w:rPr>
          <w:rFonts w:cstheme="minorHAnsi"/>
          <w:color w:val="58595B"/>
          <w:sz w:val="16"/>
          <w:szCs w:val="16"/>
        </w:rPr>
        <w:t>"</w:t>
      </w:r>
      <w:r w:rsidRPr="00126EFF">
        <w:rPr>
          <w:rFonts w:cstheme="minorHAnsi"/>
          <w:color w:val="58595B"/>
          <w:sz w:val="16"/>
          <w:szCs w:val="16"/>
        </w:rPr>
        <w:t>Wealthcare</w:t>
      </w:r>
      <w:r w:rsidR="00E15CC8" w:rsidRPr="00126EFF">
        <w:rPr>
          <w:rFonts w:cstheme="minorHAnsi"/>
          <w:color w:val="58595B"/>
          <w:sz w:val="16"/>
          <w:szCs w:val="16"/>
        </w:rPr>
        <w:t>"</w:t>
      </w:r>
      <w:r w:rsidRPr="00126EFF">
        <w:rPr>
          <w:rFonts w:cstheme="minorHAnsi"/>
          <w:color w:val="58595B"/>
          <w:sz w:val="16"/>
          <w:szCs w:val="16"/>
        </w:rPr>
        <w:t>) is a registered investment advisor with the U</w:t>
      </w:r>
      <w:r w:rsidR="00E9719E" w:rsidRPr="00126EFF">
        <w:rPr>
          <w:rFonts w:cstheme="minorHAnsi"/>
          <w:color w:val="58595B"/>
          <w:sz w:val="16"/>
          <w:szCs w:val="16"/>
        </w:rPr>
        <w:t>S</w:t>
      </w:r>
      <w:r w:rsidRPr="00126EFF">
        <w:rPr>
          <w:rFonts w:cstheme="minorHAnsi"/>
          <w:color w:val="58595B"/>
          <w:sz w:val="16"/>
          <w:szCs w:val="16"/>
        </w:rPr>
        <w:t xml:space="preserve"> Securities and Exchange Commission (SEC) under the Investment Advisors Act of 1940.  All Rights Reserved.  </w:t>
      </w:r>
    </w:p>
    <w:p w14:paraId="3545E6AC" w14:textId="77777777" w:rsidR="00FB63C1" w:rsidRPr="00126EFF" w:rsidRDefault="00FB63C1" w:rsidP="00524C3C">
      <w:pPr>
        <w:widowControl/>
        <w:spacing w:line="120" w:lineRule="auto"/>
        <w:rPr>
          <w:rFonts w:cstheme="minorHAnsi"/>
          <w:color w:val="58595B"/>
          <w:sz w:val="16"/>
          <w:szCs w:val="16"/>
        </w:rPr>
      </w:pPr>
    </w:p>
    <w:p w14:paraId="48BBA534" w14:textId="7EFF1581" w:rsidR="00834733" w:rsidRPr="00126EFF" w:rsidRDefault="00486DA1" w:rsidP="00BF0243">
      <w:pPr>
        <w:pStyle w:val="BodyText"/>
        <w:widowControl/>
        <w:ind w:left="0"/>
        <w:rPr>
          <w:rFonts w:asciiTheme="minorHAnsi" w:eastAsiaTheme="minorEastAsia" w:hAnsiTheme="minorHAnsi" w:cstheme="minorHAnsi"/>
          <w:color w:val="58595B"/>
          <w:sz w:val="16"/>
          <w:szCs w:val="16"/>
        </w:rPr>
      </w:pPr>
      <w:r w:rsidRPr="00126EFF">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126EFF"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126EFF" w:rsidRDefault="00486DA1" w:rsidP="00BF0243">
      <w:pPr>
        <w:widowControl/>
        <w:rPr>
          <w:rFonts w:eastAsiaTheme="minorEastAsia" w:cstheme="minorHAnsi"/>
          <w:color w:val="58595B"/>
          <w:sz w:val="16"/>
          <w:szCs w:val="16"/>
        </w:rPr>
      </w:pPr>
      <w:r w:rsidRPr="00126EFF">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126EFF">
        <w:rPr>
          <w:rFonts w:eastAsiaTheme="minorEastAsia" w:cstheme="minorHAnsi"/>
          <w:iCs/>
          <w:color w:val="58595B"/>
          <w:sz w:val="16"/>
          <w:szCs w:val="16"/>
        </w:rPr>
        <w:t xml:space="preserve">or guarantee a client will in all </w:t>
      </w:r>
      <w:r w:rsidRPr="00126EFF">
        <w:rPr>
          <w:rFonts w:eastAsiaTheme="minorEastAsia" w:cstheme="minorHAnsi"/>
          <w:color w:val="58595B"/>
          <w:sz w:val="16"/>
          <w:szCs w:val="16"/>
        </w:rPr>
        <w:t>circumstances of changing personal financial goals and market conditions be able to remain in a client's Wealthcare Plan Comfort Zone®.</w:t>
      </w:r>
      <w:r w:rsidRPr="00126EFF">
        <w:rPr>
          <w:rFonts w:eastAsiaTheme="minorEastAsia" w:cstheme="minorHAnsi"/>
          <w:i/>
          <w:iCs/>
          <w:color w:val="58595B"/>
          <w:sz w:val="16"/>
          <w:szCs w:val="16"/>
        </w:rPr>
        <w:t xml:space="preserve"> </w:t>
      </w:r>
      <w:r w:rsidRPr="00126EFF">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period of time.  </w:t>
      </w:r>
    </w:p>
    <w:p w14:paraId="35D64863" w14:textId="77777777" w:rsidR="00B42635" w:rsidRPr="00126EFF" w:rsidRDefault="00B42635" w:rsidP="00BF0243">
      <w:pPr>
        <w:widowControl/>
        <w:rPr>
          <w:rFonts w:eastAsiaTheme="minorEastAsia" w:cstheme="minorHAnsi"/>
          <w:color w:val="58595B"/>
          <w:sz w:val="10"/>
          <w:szCs w:val="10"/>
        </w:rPr>
      </w:pPr>
    </w:p>
    <w:p w14:paraId="3245EC30" w14:textId="77777777" w:rsidR="00C519BC" w:rsidRPr="00126EFF" w:rsidRDefault="00C519BC" w:rsidP="00BF0243">
      <w:pPr>
        <w:widowControl/>
        <w:rPr>
          <w:rFonts w:eastAsiaTheme="minorEastAsia" w:cstheme="minorHAnsi"/>
          <w:color w:val="58595B"/>
          <w:sz w:val="16"/>
          <w:szCs w:val="16"/>
        </w:rPr>
      </w:pPr>
    </w:p>
    <w:p w14:paraId="18931756" w14:textId="77777777" w:rsidR="00462D29" w:rsidRPr="00126EFF" w:rsidRDefault="00462D29" w:rsidP="00BF0243">
      <w:pPr>
        <w:widowControl/>
        <w:rPr>
          <w:rFonts w:eastAsiaTheme="minorEastAsia" w:cstheme="minorHAnsi"/>
          <w:color w:val="58595B"/>
          <w:sz w:val="16"/>
          <w:szCs w:val="16"/>
        </w:rPr>
      </w:pPr>
    </w:p>
    <w:p w14:paraId="0C7B813D" w14:textId="22FD243C" w:rsidR="005D075C" w:rsidRPr="00126EFF" w:rsidRDefault="00486DA1" w:rsidP="00BF0243">
      <w:pPr>
        <w:jc w:val="center"/>
        <w:rPr>
          <w:rFonts w:eastAsia="Calibri" w:cstheme="minorHAnsi"/>
          <w:color w:val="58595B"/>
          <w:sz w:val="20"/>
          <w:szCs w:val="20"/>
        </w:rPr>
      </w:pPr>
      <w:r w:rsidRPr="00126EFF">
        <w:rPr>
          <w:rFonts w:eastAsia="Calibri" w:cstheme="minorHAnsi"/>
          <w:noProof/>
          <w:color w:val="58595B"/>
          <w:sz w:val="20"/>
          <w:szCs w:val="20"/>
        </w:rPr>
        <w:drawing>
          <wp:inline distT="0" distB="0" distL="0" distR="0" wp14:anchorId="6FB7838E" wp14:editId="0AE9995D">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26EFF" w:rsidRDefault="00420166" w:rsidP="00BF0243">
      <w:pPr>
        <w:jc w:val="center"/>
        <w:rPr>
          <w:rFonts w:eastAsia="Calibri" w:cstheme="minorHAnsi"/>
          <w:color w:val="58595B"/>
          <w:sz w:val="20"/>
          <w:szCs w:val="20"/>
        </w:rPr>
      </w:pPr>
    </w:p>
    <w:p w14:paraId="10C4F9F5" w14:textId="77777777" w:rsidR="0075254C" w:rsidRPr="00126EFF" w:rsidRDefault="0075254C" w:rsidP="00BF0243">
      <w:pPr>
        <w:jc w:val="center"/>
        <w:rPr>
          <w:rFonts w:eastAsia="Calibri" w:cstheme="minorHAnsi"/>
          <w:color w:val="58595B"/>
          <w:sz w:val="10"/>
          <w:szCs w:val="10"/>
        </w:rPr>
      </w:pPr>
    </w:p>
    <w:p w14:paraId="4E3A0774" w14:textId="54C850ED" w:rsidR="00DC061F" w:rsidRPr="00126EFF" w:rsidRDefault="00486DA1" w:rsidP="00BF0243">
      <w:pPr>
        <w:pStyle w:val="BodyText"/>
        <w:ind w:left="0"/>
        <w:jc w:val="center"/>
        <w:rPr>
          <w:rFonts w:asciiTheme="minorHAnsi" w:hAnsiTheme="minorHAnsi" w:cstheme="minorHAnsi"/>
          <w:color w:val="58595B"/>
          <w:spacing w:val="-1"/>
        </w:rPr>
      </w:pPr>
      <w:r w:rsidRPr="00126EFF">
        <w:rPr>
          <w:rFonts w:asciiTheme="minorHAnsi" w:hAnsiTheme="minorHAnsi" w:cstheme="minorHAnsi"/>
          <w:color w:val="58595B"/>
        </w:rPr>
        <w:t>Two James Center</w:t>
      </w:r>
      <w:r w:rsidR="00CC2D02" w:rsidRPr="00126EFF">
        <w:rPr>
          <w:rFonts w:asciiTheme="minorHAnsi" w:hAnsiTheme="minorHAnsi" w:cstheme="minorHAnsi"/>
          <w:color w:val="58595B"/>
        </w:rPr>
        <w:t>,</w:t>
      </w:r>
      <w:r w:rsidRPr="00126EFF">
        <w:rPr>
          <w:rFonts w:asciiTheme="minorHAnsi" w:hAnsiTheme="minorHAnsi" w:cstheme="minorHAnsi"/>
          <w:color w:val="58595B"/>
        </w:rPr>
        <w:t xml:space="preserve"> 102</w:t>
      </w:r>
      <w:r w:rsidR="00CC2D02" w:rsidRPr="00126EFF">
        <w:rPr>
          <w:rFonts w:asciiTheme="minorHAnsi" w:hAnsiTheme="minorHAnsi" w:cstheme="minorHAnsi"/>
          <w:color w:val="58595B"/>
        </w:rPr>
        <w:t>1</w:t>
      </w:r>
      <w:r w:rsidRPr="00126EFF">
        <w:rPr>
          <w:rFonts w:asciiTheme="minorHAnsi" w:hAnsiTheme="minorHAnsi" w:cstheme="minorHAnsi"/>
          <w:color w:val="58595B"/>
        </w:rPr>
        <w:t xml:space="preserve"> East Cary Street, Suite </w:t>
      </w:r>
      <w:r w:rsidR="00BB7912" w:rsidRPr="00126EFF">
        <w:rPr>
          <w:rFonts w:asciiTheme="minorHAnsi" w:hAnsiTheme="minorHAnsi" w:cstheme="minorHAnsi"/>
          <w:color w:val="58595B"/>
        </w:rPr>
        <w:t>702</w:t>
      </w:r>
      <w:r w:rsidRPr="00126EFF">
        <w:rPr>
          <w:rFonts w:asciiTheme="minorHAnsi" w:hAnsiTheme="minorHAnsi" w:cstheme="minorHAnsi"/>
          <w:color w:val="58595B"/>
        </w:rPr>
        <w:t xml:space="preserve"> | </w:t>
      </w:r>
      <w:r w:rsidRPr="00126EFF">
        <w:rPr>
          <w:rFonts w:asciiTheme="minorHAnsi" w:hAnsiTheme="minorHAnsi" w:cstheme="minorHAnsi"/>
          <w:color w:val="58595B"/>
          <w:spacing w:val="-1"/>
        </w:rPr>
        <w:t>RICHMOND,</w:t>
      </w:r>
      <w:r w:rsidRPr="00126EFF">
        <w:rPr>
          <w:rFonts w:asciiTheme="minorHAnsi" w:hAnsiTheme="minorHAnsi" w:cstheme="minorHAnsi"/>
          <w:color w:val="58595B"/>
        </w:rPr>
        <w:t xml:space="preserve"> </w:t>
      </w:r>
      <w:r w:rsidRPr="00126EFF">
        <w:rPr>
          <w:rFonts w:asciiTheme="minorHAnsi" w:hAnsiTheme="minorHAnsi" w:cstheme="minorHAnsi"/>
          <w:color w:val="58595B"/>
          <w:spacing w:val="-6"/>
        </w:rPr>
        <w:t>VA</w:t>
      </w:r>
      <w:r w:rsidRPr="00126EFF">
        <w:rPr>
          <w:rFonts w:asciiTheme="minorHAnsi" w:hAnsiTheme="minorHAnsi" w:cstheme="minorHAnsi"/>
          <w:color w:val="58595B"/>
        </w:rPr>
        <w:t xml:space="preserve"> 23219 | </w:t>
      </w:r>
      <w:r w:rsidRPr="00126EFF">
        <w:rPr>
          <w:rFonts w:asciiTheme="minorHAnsi" w:hAnsiTheme="minorHAnsi" w:cstheme="minorHAnsi"/>
          <w:color w:val="58595B"/>
          <w:spacing w:val="-1"/>
        </w:rPr>
        <w:t>804.644.4711</w:t>
      </w:r>
    </w:p>
    <w:p w14:paraId="498CF9B2" w14:textId="79587C41" w:rsidR="00310271" w:rsidRPr="00126EFF" w:rsidRDefault="00486DA1" w:rsidP="00BF0243">
      <w:pPr>
        <w:pStyle w:val="BodyText"/>
        <w:ind w:left="0"/>
        <w:jc w:val="center"/>
        <w:rPr>
          <w:rFonts w:asciiTheme="minorHAnsi" w:eastAsia="Proxima Nova Rg" w:hAnsiTheme="minorHAnsi" w:cstheme="minorHAnsi"/>
          <w:color w:val="58595B"/>
        </w:rPr>
      </w:pPr>
      <w:r w:rsidRPr="00126EFF">
        <w:rPr>
          <w:rFonts w:asciiTheme="minorHAnsi" w:eastAsia="Proxima Nova Rg" w:hAnsiTheme="minorHAnsi" w:cstheme="minorHAnsi"/>
          <w:caps/>
          <w:color w:val="58595B"/>
        </w:rPr>
        <w:t>Wealthcare</w:t>
      </w:r>
      <w:r w:rsidR="005B6E90" w:rsidRPr="00126EFF">
        <w:rPr>
          <w:rFonts w:asciiTheme="minorHAnsi" w:eastAsia="Proxima Nova Rg" w:hAnsiTheme="minorHAnsi" w:cstheme="minorHAnsi"/>
          <w:caps/>
          <w:color w:val="58595B"/>
        </w:rPr>
        <w:t>GDX</w:t>
      </w:r>
      <w:r w:rsidRPr="00126EFF">
        <w:rPr>
          <w:rFonts w:asciiTheme="minorHAnsi" w:eastAsia="Proxima Nova Rg" w:hAnsiTheme="minorHAnsi" w:cstheme="minorHAnsi"/>
          <w:caps/>
          <w:color w:val="58595B"/>
        </w:rPr>
        <w:t>.com</w:t>
      </w:r>
    </w:p>
    <w:sectPr w:rsidR="00310271" w:rsidRPr="00126EFF" w:rsidSect="00FC7D0D">
      <w:headerReference w:type="even" r:id="rId26"/>
      <w:headerReference w:type="default" r:id="rId27"/>
      <w:footerReference w:type="default" r:id="rId28"/>
      <w:headerReference w:type="first" r:id="rId29"/>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636E" w14:textId="77777777" w:rsidR="00FD4916" w:rsidRDefault="00FD4916">
      <w:r>
        <w:separator/>
      </w:r>
    </w:p>
  </w:endnote>
  <w:endnote w:type="continuationSeparator" w:id="0">
    <w:p w14:paraId="30B0685D" w14:textId="77777777" w:rsidR="00FD4916" w:rsidRDefault="00FD4916">
      <w:r>
        <w:continuationSeparator/>
      </w:r>
    </w:p>
  </w:endnote>
  <w:endnote w:type="continuationNotice" w:id="1">
    <w:p w14:paraId="78E927DE" w14:textId="77777777" w:rsidR="00FD4916" w:rsidRDefault="00FD4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33CE" w14:textId="77777777" w:rsidR="00FD4916" w:rsidRDefault="00FD4916">
      <w:r>
        <w:separator/>
      </w:r>
    </w:p>
  </w:footnote>
  <w:footnote w:type="continuationSeparator" w:id="0">
    <w:p w14:paraId="34348470" w14:textId="77777777" w:rsidR="00FD4916" w:rsidRDefault="00FD4916">
      <w:r>
        <w:continuationSeparator/>
      </w:r>
    </w:p>
  </w:footnote>
  <w:footnote w:type="continuationNotice" w:id="1">
    <w:p w14:paraId="19950B3C" w14:textId="77777777" w:rsidR="00FD4916" w:rsidRDefault="00FD4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M60FAPaEQ54tAAAA"/>
  </w:docVars>
  <w:rsids>
    <w:rsidRoot w:val="00310271"/>
    <w:rsid w:val="000036B2"/>
    <w:rsid w:val="000071F9"/>
    <w:rsid w:val="000146B5"/>
    <w:rsid w:val="0002356D"/>
    <w:rsid w:val="00025049"/>
    <w:rsid w:val="000251DB"/>
    <w:rsid w:val="00026505"/>
    <w:rsid w:val="00027D08"/>
    <w:rsid w:val="00040C3C"/>
    <w:rsid w:val="000507C5"/>
    <w:rsid w:val="000536AB"/>
    <w:rsid w:val="00053804"/>
    <w:rsid w:val="00055C2B"/>
    <w:rsid w:val="00056B71"/>
    <w:rsid w:val="00056C5F"/>
    <w:rsid w:val="0006031A"/>
    <w:rsid w:val="00060559"/>
    <w:rsid w:val="00060862"/>
    <w:rsid w:val="00061AE7"/>
    <w:rsid w:val="000719FE"/>
    <w:rsid w:val="00074E6F"/>
    <w:rsid w:val="00075B30"/>
    <w:rsid w:val="000762FC"/>
    <w:rsid w:val="0008061F"/>
    <w:rsid w:val="00081994"/>
    <w:rsid w:val="00084965"/>
    <w:rsid w:val="00085051"/>
    <w:rsid w:val="00085537"/>
    <w:rsid w:val="00095231"/>
    <w:rsid w:val="000A2F3C"/>
    <w:rsid w:val="000A693A"/>
    <w:rsid w:val="000A7B71"/>
    <w:rsid w:val="000B3FB0"/>
    <w:rsid w:val="000C1420"/>
    <w:rsid w:val="000C2111"/>
    <w:rsid w:val="000C4725"/>
    <w:rsid w:val="000C77BD"/>
    <w:rsid w:val="000D2FFB"/>
    <w:rsid w:val="000D3EB7"/>
    <w:rsid w:val="000E2FF8"/>
    <w:rsid w:val="000E6258"/>
    <w:rsid w:val="000E6802"/>
    <w:rsid w:val="000E6C86"/>
    <w:rsid w:val="000E6D97"/>
    <w:rsid w:val="000F3D40"/>
    <w:rsid w:val="000F7EFA"/>
    <w:rsid w:val="0010115C"/>
    <w:rsid w:val="001014AE"/>
    <w:rsid w:val="00105280"/>
    <w:rsid w:val="00105411"/>
    <w:rsid w:val="00106D0B"/>
    <w:rsid w:val="00111309"/>
    <w:rsid w:val="00113BE6"/>
    <w:rsid w:val="001144BC"/>
    <w:rsid w:val="0011558E"/>
    <w:rsid w:val="00116740"/>
    <w:rsid w:val="00120010"/>
    <w:rsid w:val="001217A4"/>
    <w:rsid w:val="0012269E"/>
    <w:rsid w:val="00123D97"/>
    <w:rsid w:val="00123FD9"/>
    <w:rsid w:val="00124661"/>
    <w:rsid w:val="00126EFF"/>
    <w:rsid w:val="00127E67"/>
    <w:rsid w:val="00132058"/>
    <w:rsid w:val="001320EA"/>
    <w:rsid w:val="00133F7F"/>
    <w:rsid w:val="0013545A"/>
    <w:rsid w:val="00140E81"/>
    <w:rsid w:val="00141D14"/>
    <w:rsid w:val="00142FBF"/>
    <w:rsid w:val="001470E4"/>
    <w:rsid w:val="001532A5"/>
    <w:rsid w:val="001534A4"/>
    <w:rsid w:val="001537A4"/>
    <w:rsid w:val="00153F4A"/>
    <w:rsid w:val="00161B54"/>
    <w:rsid w:val="00162118"/>
    <w:rsid w:val="00163EA8"/>
    <w:rsid w:val="0017091A"/>
    <w:rsid w:val="0017149B"/>
    <w:rsid w:val="0017207E"/>
    <w:rsid w:val="001744D6"/>
    <w:rsid w:val="001751D9"/>
    <w:rsid w:val="00175C9D"/>
    <w:rsid w:val="00180274"/>
    <w:rsid w:val="0018292B"/>
    <w:rsid w:val="00183C38"/>
    <w:rsid w:val="00187E21"/>
    <w:rsid w:val="00192937"/>
    <w:rsid w:val="001929E9"/>
    <w:rsid w:val="00194883"/>
    <w:rsid w:val="00197C70"/>
    <w:rsid w:val="001A407F"/>
    <w:rsid w:val="001A5AE0"/>
    <w:rsid w:val="001C0EE6"/>
    <w:rsid w:val="001C2F89"/>
    <w:rsid w:val="001C3947"/>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570F6"/>
    <w:rsid w:val="002640B5"/>
    <w:rsid w:val="00271D59"/>
    <w:rsid w:val="00274EA9"/>
    <w:rsid w:val="00276A7C"/>
    <w:rsid w:val="00280765"/>
    <w:rsid w:val="00280C61"/>
    <w:rsid w:val="00286212"/>
    <w:rsid w:val="0029529F"/>
    <w:rsid w:val="002A38CA"/>
    <w:rsid w:val="002A4821"/>
    <w:rsid w:val="002A4D21"/>
    <w:rsid w:val="002B07E7"/>
    <w:rsid w:val="002B2F91"/>
    <w:rsid w:val="002B3E10"/>
    <w:rsid w:val="002C01C4"/>
    <w:rsid w:val="002C0E8C"/>
    <w:rsid w:val="002C2526"/>
    <w:rsid w:val="002C3302"/>
    <w:rsid w:val="002C648F"/>
    <w:rsid w:val="002D2361"/>
    <w:rsid w:val="002E3928"/>
    <w:rsid w:val="002F2A80"/>
    <w:rsid w:val="002F681A"/>
    <w:rsid w:val="002F7E04"/>
    <w:rsid w:val="00300681"/>
    <w:rsid w:val="00301338"/>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34F31"/>
    <w:rsid w:val="003423BA"/>
    <w:rsid w:val="00351C1E"/>
    <w:rsid w:val="003524EF"/>
    <w:rsid w:val="003538D0"/>
    <w:rsid w:val="00366F01"/>
    <w:rsid w:val="00373420"/>
    <w:rsid w:val="003737D4"/>
    <w:rsid w:val="003739E6"/>
    <w:rsid w:val="00374837"/>
    <w:rsid w:val="003758DC"/>
    <w:rsid w:val="00377EE1"/>
    <w:rsid w:val="00381561"/>
    <w:rsid w:val="0038183B"/>
    <w:rsid w:val="00384380"/>
    <w:rsid w:val="003958D3"/>
    <w:rsid w:val="00395F67"/>
    <w:rsid w:val="00396F47"/>
    <w:rsid w:val="003A021A"/>
    <w:rsid w:val="003A0958"/>
    <w:rsid w:val="003A7A3C"/>
    <w:rsid w:val="003B0255"/>
    <w:rsid w:val="003B44B8"/>
    <w:rsid w:val="003B4CF3"/>
    <w:rsid w:val="003B6D62"/>
    <w:rsid w:val="003B727B"/>
    <w:rsid w:val="003B730E"/>
    <w:rsid w:val="003B7896"/>
    <w:rsid w:val="003C0140"/>
    <w:rsid w:val="003C0245"/>
    <w:rsid w:val="003C6216"/>
    <w:rsid w:val="003C70C1"/>
    <w:rsid w:val="003C7B91"/>
    <w:rsid w:val="003D13A4"/>
    <w:rsid w:val="003D725D"/>
    <w:rsid w:val="003E2206"/>
    <w:rsid w:val="003E43C9"/>
    <w:rsid w:val="003E4BD4"/>
    <w:rsid w:val="003E63FE"/>
    <w:rsid w:val="003F0914"/>
    <w:rsid w:val="003F7F06"/>
    <w:rsid w:val="00400BA3"/>
    <w:rsid w:val="00400BB9"/>
    <w:rsid w:val="00401EB9"/>
    <w:rsid w:val="004050FD"/>
    <w:rsid w:val="004167E5"/>
    <w:rsid w:val="00417810"/>
    <w:rsid w:val="00420166"/>
    <w:rsid w:val="004235CF"/>
    <w:rsid w:val="00424748"/>
    <w:rsid w:val="004325CE"/>
    <w:rsid w:val="00435035"/>
    <w:rsid w:val="004363E3"/>
    <w:rsid w:val="00437778"/>
    <w:rsid w:val="004378D9"/>
    <w:rsid w:val="00440FCC"/>
    <w:rsid w:val="00442743"/>
    <w:rsid w:val="00445FF9"/>
    <w:rsid w:val="00451E08"/>
    <w:rsid w:val="004529C8"/>
    <w:rsid w:val="00454199"/>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0A1A"/>
    <w:rsid w:val="00494E1B"/>
    <w:rsid w:val="0049544F"/>
    <w:rsid w:val="00495C93"/>
    <w:rsid w:val="00496DD2"/>
    <w:rsid w:val="00497869"/>
    <w:rsid w:val="004A0254"/>
    <w:rsid w:val="004A04FD"/>
    <w:rsid w:val="004A0EF4"/>
    <w:rsid w:val="004A20B9"/>
    <w:rsid w:val="004A22AB"/>
    <w:rsid w:val="004A5042"/>
    <w:rsid w:val="004B30D4"/>
    <w:rsid w:val="004B5874"/>
    <w:rsid w:val="004B7F15"/>
    <w:rsid w:val="004C00AC"/>
    <w:rsid w:val="004C0269"/>
    <w:rsid w:val="004C36D5"/>
    <w:rsid w:val="004C54A2"/>
    <w:rsid w:val="004D18D5"/>
    <w:rsid w:val="004D480C"/>
    <w:rsid w:val="004D528B"/>
    <w:rsid w:val="004D5DCD"/>
    <w:rsid w:val="004D7659"/>
    <w:rsid w:val="004E2838"/>
    <w:rsid w:val="004E2D55"/>
    <w:rsid w:val="004E2DF5"/>
    <w:rsid w:val="004E43EA"/>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30BB9"/>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7622E"/>
    <w:rsid w:val="00584BAA"/>
    <w:rsid w:val="00593260"/>
    <w:rsid w:val="00593C4C"/>
    <w:rsid w:val="005971D3"/>
    <w:rsid w:val="00597589"/>
    <w:rsid w:val="005A0C0D"/>
    <w:rsid w:val="005A213E"/>
    <w:rsid w:val="005A25DD"/>
    <w:rsid w:val="005A2D15"/>
    <w:rsid w:val="005A30D7"/>
    <w:rsid w:val="005A503A"/>
    <w:rsid w:val="005B0F37"/>
    <w:rsid w:val="005B2B32"/>
    <w:rsid w:val="005B6E90"/>
    <w:rsid w:val="005C015E"/>
    <w:rsid w:val="005C0F5A"/>
    <w:rsid w:val="005C2D7B"/>
    <w:rsid w:val="005C33A3"/>
    <w:rsid w:val="005C3A4D"/>
    <w:rsid w:val="005C5E14"/>
    <w:rsid w:val="005D075C"/>
    <w:rsid w:val="005D0D11"/>
    <w:rsid w:val="005D1DE3"/>
    <w:rsid w:val="005D50CF"/>
    <w:rsid w:val="005D5662"/>
    <w:rsid w:val="005D7902"/>
    <w:rsid w:val="005E0EB9"/>
    <w:rsid w:val="005E2E0D"/>
    <w:rsid w:val="005E4B02"/>
    <w:rsid w:val="005E7F47"/>
    <w:rsid w:val="005F1B03"/>
    <w:rsid w:val="00602F86"/>
    <w:rsid w:val="00606E96"/>
    <w:rsid w:val="00612551"/>
    <w:rsid w:val="00615328"/>
    <w:rsid w:val="00615D4E"/>
    <w:rsid w:val="00621409"/>
    <w:rsid w:val="00623D53"/>
    <w:rsid w:val="0062491C"/>
    <w:rsid w:val="006256A2"/>
    <w:rsid w:val="00627D1B"/>
    <w:rsid w:val="00632E73"/>
    <w:rsid w:val="006336AC"/>
    <w:rsid w:val="00637143"/>
    <w:rsid w:val="0064384D"/>
    <w:rsid w:val="006445D3"/>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732D9"/>
    <w:rsid w:val="00681E99"/>
    <w:rsid w:val="0068201F"/>
    <w:rsid w:val="00682DD2"/>
    <w:rsid w:val="00683FAC"/>
    <w:rsid w:val="00686641"/>
    <w:rsid w:val="006918CC"/>
    <w:rsid w:val="0069522A"/>
    <w:rsid w:val="00695F42"/>
    <w:rsid w:val="006967BB"/>
    <w:rsid w:val="006B76C3"/>
    <w:rsid w:val="006C1374"/>
    <w:rsid w:val="006D0717"/>
    <w:rsid w:val="006D3705"/>
    <w:rsid w:val="006E1C96"/>
    <w:rsid w:val="006E51E1"/>
    <w:rsid w:val="006E5CA8"/>
    <w:rsid w:val="006E779D"/>
    <w:rsid w:val="006F28A9"/>
    <w:rsid w:val="006F3418"/>
    <w:rsid w:val="006F7759"/>
    <w:rsid w:val="0070100C"/>
    <w:rsid w:val="007017CA"/>
    <w:rsid w:val="00701959"/>
    <w:rsid w:val="007024E7"/>
    <w:rsid w:val="00703612"/>
    <w:rsid w:val="00703E18"/>
    <w:rsid w:val="00703E54"/>
    <w:rsid w:val="007043AD"/>
    <w:rsid w:val="00705DD5"/>
    <w:rsid w:val="00711587"/>
    <w:rsid w:val="007134F0"/>
    <w:rsid w:val="00714486"/>
    <w:rsid w:val="00714F42"/>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97DE1"/>
    <w:rsid w:val="007A0312"/>
    <w:rsid w:val="007A0DA1"/>
    <w:rsid w:val="007A3EC8"/>
    <w:rsid w:val="007A52F8"/>
    <w:rsid w:val="007A6DBD"/>
    <w:rsid w:val="007B0610"/>
    <w:rsid w:val="007B5170"/>
    <w:rsid w:val="007B59A5"/>
    <w:rsid w:val="007B7745"/>
    <w:rsid w:val="007C0D49"/>
    <w:rsid w:val="007C2D9B"/>
    <w:rsid w:val="007C344D"/>
    <w:rsid w:val="007C3925"/>
    <w:rsid w:val="007C4B80"/>
    <w:rsid w:val="007C7524"/>
    <w:rsid w:val="007D2D41"/>
    <w:rsid w:val="007D450B"/>
    <w:rsid w:val="007D5645"/>
    <w:rsid w:val="007E0095"/>
    <w:rsid w:val="007E1098"/>
    <w:rsid w:val="007E1511"/>
    <w:rsid w:val="007E4BAC"/>
    <w:rsid w:val="007E4E13"/>
    <w:rsid w:val="007E55DD"/>
    <w:rsid w:val="007F10EF"/>
    <w:rsid w:val="007F669A"/>
    <w:rsid w:val="007F7717"/>
    <w:rsid w:val="0080555E"/>
    <w:rsid w:val="00805E10"/>
    <w:rsid w:val="008062B1"/>
    <w:rsid w:val="00806F76"/>
    <w:rsid w:val="00811543"/>
    <w:rsid w:val="00816C8D"/>
    <w:rsid w:val="00820771"/>
    <w:rsid w:val="0082261D"/>
    <w:rsid w:val="008256B4"/>
    <w:rsid w:val="008259BC"/>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6380"/>
    <w:rsid w:val="00877495"/>
    <w:rsid w:val="00880D05"/>
    <w:rsid w:val="00886CF6"/>
    <w:rsid w:val="0089443D"/>
    <w:rsid w:val="008A0ED6"/>
    <w:rsid w:val="008A12E0"/>
    <w:rsid w:val="008A55C6"/>
    <w:rsid w:val="008B38FF"/>
    <w:rsid w:val="008B6D72"/>
    <w:rsid w:val="008B769E"/>
    <w:rsid w:val="008C0D79"/>
    <w:rsid w:val="008C31AD"/>
    <w:rsid w:val="008C3985"/>
    <w:rsid w:val="008C4043"/>
    <w:rsid w:val="008D1AC2"/>
    <w:rsid w:val="008D35C8"/>
    <w:rsid w:val="008D5D78"/>
    <w:rsid w:val="008D741D"/>
    <w:rsid w:val="008D7593"/>
    <w:rsid w:val="008E01C4"/>
    <w:rsid w:val="008E056D"/>
    <w:rsid w:val="008E5DE9"/>
    <w:rsid w:val="008F081A"/>
    <w:rsid w:val="008F12F3"/>
    <w:rsid w:val="0090011F"/>
    <w:rsid w:val="00900651"/>
    <w:rsid w:val="009015F6"/>
    <w:rsid w:val="0090192B"/>
    <w:rsid w:val="00904AE2"/>
    <w:rsid w:val="00907CEA"/>
    <w:rsid w:val="009110A4"/>
    <w:rsid w:val="0091217D"/>
    <w:rsid w:val="00914AFF"/>
    <w:rsid w:val="009176C8"/>
    <w:rsid w:val="009200A3"/>
    <w:rsid w:val="00920389"/>
    <w:rsid w:val="009227B3"/>
    <w:rsid w:val="00922E9D"/>
    <w:rsid w:val="00923A8D"/>
    <w:rsid w:val="009307EE"/>
    <w:rsid w:val="009329CD"/>
    <w:rsid w:val="0094135E"/>
    <w:rsid w:val="00941B78"/>
    <w:rsid w:val="009421C4"/>
    <w:rsid w:val="00943EA9"/>
    <w:rsid w:val="0094730E"/>
    <w:rsid w:val="00950001"/>
    <w:rsid w:val="00951B43"/>
    <w:rsid w:val="009525F2"/>
    <w:rsid w:val="0095400E"/>
    <w:rsid w:val="00955EBF"/>
    <w:rsid w:val="00957520"/>
    <w:rsid w:val="00962148"/>
    <w:rsid w:val="00962FF6"/>
    <w:rsid w:val="0096312F"/>
    <w:rsid w:val="00963B94"/>
    <w:rsid w:val="009643B4"/>
    <w:rsid w:val="00965D77"/>
    <w:rsid w:val="00967A7A"/>
    <w:rsid w:val="00970261"/>
    <w:rsid w:val="00972106"/>
    <w:rsid w:val="00972770"/>
    <w:rsid w:val="0097491B"/>
    <w:rsid w:val="009762D3"/>
    <w:rsid w:val="0097697C"/>
    <w:rsid w:val="00976D35"/>
    <w:rsid w:val="0098000F"/>
    <w:rsid w:val="00980F0E"/>
    <w:rsid w:val="00983962"/>
    <w:rsid w:val="0099048D"/>
    <w:rsid w:val="00990AEE"/>
    <w:rsid w:val="00995041"/>
    <w:rsid w:val="00997EBD"/>
    <w:rsid w:val="009A02EB"/>
    <w:rsid w:val="009A37DB"/>
    <w:rsid w:val="009A3DB4"/>
    <w:rsid w:val="009A448E"/>
    <w:rsid w:val="009B1563"/>
    <w:rsid w:val="009B4639"/>
    <w:rsid w:val="009B4976"/>
    <w:rsid w:val="009B4B9D"/>
    <w:rsid w:val="009B54A0"/>
    <w:rsid w:val="009B7188"/>
    <w:rsid w:val="009D0EF3"/>
    <w:rsid w:val="009D46CC"/>
    <w:rsid w:val="009E114D"/>
    <w:rsid w:val="009E274F"/>
    <w:rsid w:val="009F1391"/>
    <w:rsid w:val="009F19DF"/>
    <w:rsid w:val="009F2929"/>
    <w:rsid w:val="009F4F1D"/>
    <w:rsid w:val="009F70BD"/>
    <w:rsid w:val="00A00DE7"/>
    <w:rsid w:val="00A049E2"/>
    <w:rsid w:val="00A04C54"/>
    <w:rsid w:val="00A05DEE"/>
    <w:rsid w:val="00A11F92"/>
    <w:rsid w:val="00A1218C"/>
    <w:rsid w:val="00A22F75"/>
    <w:rsid w:val="00A26AC3"/>
    <w:rsid w:val="00A31B84"/>
    <w:rsid w:val="00A3398B"/>
    <w:rsid w:val="00A37CFE"/>
    <w:rsid w:val="00A40946"/>
    <w:rsid w:val="00A42F7D"/>
    <w:rsid w:val="00A46DE6"/>
    <w:rsid w:val="00A5537B"/>
    <w:rsid w:val="00A56914"/>
    <w:rsid w:val="00A613CC"/>
    <w:rsid w:val="00A621BC"/>
    <w:rsid w:val="00A65456"/>
    <w:rsid w:val="00A754E7"/>
    <w:rsid w:val="00A763E7"/>
    <w:rsid w:val="00A77876"/>
    <w:rsid w:val="00A81377"/>
    <w:rsid w:val="00A87A54"/>
    <w:rsid w:val="00A90736"/>
    <w:rsid w:val="00A93393"/>
    <w:rsid w:val="00AA02F6"/>
    <w:rsid w:val="00AA0D57"/>
    <w:rsid w:val="00AB025D"/>
    <w:rsid w:val="00AB1444"/>
    <w:rsid w:val="00AB4AA0"/>
    <w:rsid w:val="00AC246F"/>
    <w:rsid w:val="00AC2F68"/>
    <w:rsid w:val="00AC6240"/>
    <w:rsid w:val="00AC7DFF"/>
    <w:rsid w:val="00AD0F1D"/>
    <w:rsid w:val="00AD571B"/>
    <w:rsid w:val="00AD5B9F"/>
    <w:rsid w:val="00AD6482"/>
    <w:rsid w:val="00AE355A"/>
    <w:rsid w:val="00AE4730"/>
    <w:rsid w:val="00AE5933"/>
    <w:rsid w:val="00AF4F9B"/>
    <w:rsid w:val="00AF6165"/>
    <w:rsid w:val="00AF73E9"/>
    <w:rsid w:val="00B008BF"/>
    <w:rsid w:val="00B010F5"/>
    <w:rsid w:val="00B04E79"/>
    <w:rsid w:val="00B106D8"/>
    <w:rsid w:val="00B1237F"/>
    <w:rsid w:val="00B14A3F"/>
    <w:rsid w:val="00B21DF7"/>
    <w:rsid w:val="00B23CB8"/>
    <w:rsid w:val="00B278B8"/>
    <w:rsid w:val="00B31916"/>
    <w:rsid w:val="00B32982"/>
    <w:rsid w:val="00B342D7"/>
    <w:rsid w:val="00B412D0"/>
    <w:rsid w:val="00B41F85"/>
    <w:rsid w:val="00B42635"/>
    <w:rsid w:val="00B42EFD"/>
    <w:rsid w:val="00B43370"/>
    <w:rsid w:val="00B44158"/>
    <w:rsid w:val="00B469E4"/>
    <w:rsid w:val="00B51A09"/>
    <w:rsid w:val="00B52F08"/>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0FC3"/>
    <w:rsid w:val="00B92EE8"/>
    <w:rsid w:val="00B97AFD"/>
    <w:rsid w:val="00BA0C70"/>
    <w:rsid w:val="00BA2CC6"/>
    <w:rsid w:val="00BA2D41"/>
    <w:rsid w:val="00BA3AC9"/>
    <w:rsid w:val="00BA4143"/>
    <w:rsid w:val="00BA5B1A"/>
    <w:rsid w:val="00BA66B4"/>
    <w:rsid w:val="00BB0C49"/>
    <w:rsid w:val="00BB219B"/>
    <w:rsid w:val="00BB5458"/>
    <w:rsid w:val="00BB7912"/>
    <w:rsid w:val="00BC19BA"/>
    <w:rsid w:val="00BC1CC0"/>
    <w:rsid w:val="00BC2C82"/>
    <w:rsid w:val="00BD19FA"/>
    <w:rsid w:val="00BD35A2"/>
    <w:rsid w:val="00BD5752"/>
    <w:rsid w:val="00BD60B5"/>
    <w:rsid w:val="00BD7275"/>
    <w:rsid w:val="00BE28B7"/>
    <w:rsid w:val="00BE3FE9"/>
    <w:rsid w:val="00BE7FC6"/>
    <w:rsid w:val="00BF0243"/>
    <w:rsid w:val="00BF19D8"/>
    <w:rsid w:val="00BF1AAE"/>
    <w:rsid w:val="00BF2195"/>
    <w:rsid w:val="00BF300F"/>
    <w:rsid w:val="00BF5C01"/>
    <w:rsid w:val="00C033C8"/>
    <w:rsid w:val="00C03AB7"/>
    <w:rsid w:val="00C03FF2"/>
    <w:rsid w:val="00C04E70"/>
    <w:rsid w:val="00C05BC2"/>
    <w:rsid w:val="00C10313"/>
    <w:rsid w:val="00C1181C"/>
    <w:rsid w:val="00C1403A"/>
    <w:rsid w:val="00C14B5D"/>
    <w:rsid w:val="00C16713"/>
    <w:rsid w:val="00C1768F"/>
    <w:rsid w:val="00C20D43"/>
    <w:rsid w:val="00C219B7"/>
    <w:rsid w:val="00C22E7D"/>
    <w:rsid w:val="00C22F31"/>
    <w:rsid w:val="00C23A23"/>
    <w:rsid w:val="00C24E4A"/>
    <w:rsid w:val="00C309DD"/>
    <w:rsid w:val="00C32235"/>
    <w:rsid w:val="00C32E69"/>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FF6"/>
    <w:rsid w:val="00C77191"/>
    <w:rsid w:val="00C81BA7"/>
    <w:rsid w:val="00C83CC2"/>
    <w:rsid w:val="00C85FF6"/>
    <w:rsid w:val="00C87564"/>
    <w:rsid w:val="00C907B1"/>
    <w:rsid w:val="00CA10C2"/>
    <w:rsid w:val="00CA423F"/>
    <w:rsid w:val="00CA77B7"/>
    <w:rsid w:val="00CB1608"/>
    <w:rsid w:val="00CB1910"/>
    <w:rsid w:val="00CB3785"/>
    <w:rsid w:val="00CB424D"/>
    <w:rsid w:val="00CB5069"/>
    <w:rsid w:val="00CC0FDD"/>
    <w:rsid w:val="00CC1528"/>
    <w:rsid w:val="00CC1C61"/>
    <w:rsid w:val="00CC2D02"/>
    <w:rsid w:val="00CC3E4A"/>
    <w:rsid w:val="00CC3FA5"/>
    <w:rsid w:val="00CD2641"/>
    <w:rsid w:val="00CD4556"/>
    <w:rsid w:val="00CE1C42"/>
    <w:rsid w:val="00CE2D47"/>
    <w:rsid w:val="00CE39E0"/>
    <w:rsid w:val="00CE62F7"/>
    <w:rsid w:val="00CE7DF2"/>
    <w:rsid w:val="00CF00E3"/>
    <w:rsid w:val="00CF093E"/>
    <w:rsid w:val="00CF1602"/>
    <w:rsid w:val="00CF1B81"/>
    <w:rsid w:val="00CF1BAA"/>
    <w:rsid w:val="00CF34E8"/>
    <w:rsid w:val="00D0261F"/>
    <w:rsid w:val="00D034B7"/>
    <w:rsid w:val="00D05DF5"/>
    <w:rsid w:val="00D14185"/>
    <w:rsid w:val="00D15709"/>
    <w:rsid w:val="00D15F4E"/>
    <w:rsid w:val="00D17439"/>
    <w:rsid w:val="00D22917"/>
    <w:rsid w:val="00D26F72"/>
    <w:rsid w:val="00D32EFB"/>
    <w:rsid w:val="00D360C5"/>
    <w:rsid w:val="00D409A8"/>
    <w:rsid w:val="00D42D9A"/>
    <w:rsid w:val="00D50A92"/>
    <w:rsid w:val="00D55894"/>
    <w:rsid w:val="00D55D70"/>
    <w:rsid w:val="00D5610D"/>
    <w:rsid w:val="00D576D7"/>
    <w:rsid w:val="00D6278F"/>
    <w:rsid w:val="00D62EA9"/>
    <w:rsid w:val="00D75448"/>
    <w:rsid w:val="00D756FD"/>
    <w:rsid w:val="00D75C33"/>
    <w:rsid w:val="00D821AE"/>
    <w:rsid w:val="00D86139"/>
    <w:rsid w:val="00D86563"/>
    <w:rsid w:val="00D9009B"/>
    <w:rsid w:val="00D909B8"/>
    <w:rsid w:val="00D922F6"/>
    <w:rsid w:val="00D96987"/>
    <w:rsid w:val="00D97DF6"/>
    <w:rsid w:val="00DA3544"/>
    <w:rsid w:val="00DA423D"/>
    <w:rsid w:val="00DA514C"/>
    <w:rsid w:val="00DA667C"/>
    <w:rsid w:val="00DA7301"/>
    <w:rsid w:val="00DB136E"/>
    <w:rsid w:val="00DB3D33"/>
    <w:rsid w:val="00DB4FE6"/>
    <w:rsid w:val="00DC061F"/>
    <w:rsid w:val="00DC39C5"/>
    <w:rsid w:val="00DC3EF3"/>
    <w:rsid w:val="00DC493E"/>
    <w:rsid w:val="00DC5AC8"/>
    <w:rsid w:val="00DC63C0"/>
    <w:rsid w:val="00DD3B32"/>
    <w:rsid w:val="00DD748D"/>
    <w:rsid w:val="00DE2617"/>
    <w:rsid w:val="00DE3290"/>
    <w:rsid w:val="00DE4686"/>
    <w:rsid w:val="00DE7CAE"/>
    <w:rsid w:val="00DF115D"/>
    <w:rsid w:val="00DF1E02"/>
    <w:rsid w:val="00DF5D78"/>
    <w:rsid w:val="00DF6C35"/>
    <w:rsid w:val="00DF6CCB"/>
    <w:rsid w:val="00E0109B"/>
    <w:rsid w:val="00E01674"/>
    <w:rsid w:val="00E068FD"/>
    <w:rsid w:val="00E13554"/>
    <w:rsid w:val="00E13977"/>
    <w:rsid w:val="00E158C0"/>
    <w:rsid w:val="00E15CC8"/>
    <w:rsid w:val="00E17B6F"/>
    <w:rsid w:val="00E22E74"/>
    <w:rsid w:val="00E249E2"/>
    <w:rsid w:val="00E25950"/>
    <w:rsid w:val="00E30DB4"/>
    <w:rsid w:val="00E3118A"/>
    <w:rsid w:val="00E4127A"/>
    <w:rsid w:val="00E41CB0"/>
    <w:rsid w:val="00E42C8D"/>
    <w:rsid w:val="00E4354E"/>
    <w:rsid w:val="00E43D28"/>
    <w:rsid w:val="00E45703"/>
    <w:rsid w:val="00E463D4"/>
    <w:rsid w:val="00E50BC4"/>
    <w:rsid w:val="00E5192E"/>
    <w:rsid w:val="00E51D8A"/>
    <w:rsid w:val="00E54EC0"/>
    <w:rsid w:val="00E55B2F"/>
    <w:rsid w:val="00E729B6"/>
    <w:rsid w:val="00E73B5F"/>
    <w:rsid w:val="00E761F7"/>
    <w:rsid w:val="00E76A5C"/>
    <w:rsid w:val="00E829DC"/>
    <w:rsid w:val="00E82D3C"/>
    <w:rsid w:val="00E83506"/>
    <w:rsid w:val="00E85CF7"/>
    <w:rsid w:val="00E90502"/>
    <w:rsid w:val="00E91598"/>
    <w:rsid w:val="00E96DD1"/>
    <w:rsid w:val="00E9719E"/>
    <w:rsid w:val="00EA0CB3"/>
    <w:rsid w:val="00EA120E"/>
    <w:rsid w:val="00EA1E0B"/>
    <w:rsid w:val="00EA5F56"/>
    <w:rsid w:val="00EA7B9E"/>
    <w:rsid w:val="00EC0220"/>
    <w:rsid w:val="00EC2860"/>
    <w:rsid w:val="00EC2992"/>
    <w:rsid w:val="00EC3E2E"/>
    <w:rsid w:val="00EC4A14"/>
    <w:rsid w:val="00EC5E0A"/>
    <w:rsid w:val="00ED44E6"/>
    <w:rsid w:val="00ED749C"/>
    <w:rsid w:val="00EE0FB7"/>
    <w:rsid w:val="00EE188E"/>
    <w:rsid w:val="00EE3523"/>
    <w:rsid w:val="00EE69AF"/>
    <w:rsid w:val="00EE6D91"/>
    <w:rsid w:val="00EE7D63"/>
    <w:rsid w:val="00EF1341"/>
    <w:rsid w:val="00EF3A04"/>
    <w:rsid w:val="00EF421D"/>
    <w:rsid w:val="00EF4FDE"/>
    <w:rsid w:val="00F12C03"/>
    <w:rsid w:val="00F1553D"/>
    <w:rsid w:val="00F201A1"/>
    <w:rsid w:val="00F20C2D"/>
    <w:rsid w:val="00F21AFE"/>
    <w:rsid w:val="00F236B2"/>
    <w:rsid w:val="00F25A3F"/>
    <w:rsid w:val="00F27917"/>
    <w:rsid w:val="00F3241A"/>
    <w:rsid w:val="00F33A78"/>
    <w:rsid w:val="00F33E81"/>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65C37"/>
    <w:rsid w:val="00F67D1F"/>
    <w:rsid w:val="00F7205E"/>
    <w:rsid w:val="00F72A72"/>
    <w:rsid w:val="00F77085"/>
    <w:rsid w:val="00F8517C"/>
    <w:rsid w:val="00F85A28"/>
    <w:rsid w:val="00F86277"/>
    <w:rsid w:val="00F91303"/>
    <w:rsid w:val="00F94B31"/>
    <w:rsid w:val="00F96FDC"/>
    <w:rsid w:val="00F979F9"/>
    <w:rsid w:val="00FA27FD"/>
    <w:rsid w:val="00FA2943"/>
    <w:rsid w:val="00FA57CE"/>
    <w:rsid w:val="00FA6742"/>
    <w:rsid w:val="00FA70DF"/>
    <w:rsid w:val="00FA7962"/>
    <w:rsid w:val="00FB0056"/>
    <w:rsid w:val="00FB211E"/>
    <w:rsid w:val="00FB2AB6"/>
    <w:rsid w:val="00FB41E4"/>
    <w:rsid w:val="00FB430F"/>
    <w:rsid w:val="00FB54F9"/>
    <w:rsid w:val="00FB63C1"/>
    <w:rsid w:val="00FB6674"/>
    <w:rsid w:val="00FC125E"/>
    <w:rsid w:val="00FC38B3"/>
    <w:rsid w:val="00FC58C8"/>
    <w:rsid w:val="00FC7BD6"/>
    <w:rsid w:val="00FC7D0D"/>
    <w:rsid w:val="00FD42C5"/>
    <w:rsid w:val="00FD43C9"/>
    <w:rsid w:val="00FD4916"/>
    <w:rsid w:val="00FD5531"/>
    <w:rsid w:val="00FE282A"/>
    <w:rsid w:val="00FE3147"/>
    <w:rsid w:val="00FE36D4"/>
    <w:rsid w:val="00FE51BA"/>
    <w:rsid w:val="00FE629C"/>
    <w:rsid w:val="00FF2450"/>
    <w:rsid w:val="00FF421C"/>
    <w:rsid w:val="00FF4856"/>
    <w:rsid w:val="00FF4A69"/>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axios.com/2025/07/30/fed-trump-powell-diss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news.com/article/jobs-economy-unemployment-trump-tariff-hiring-1d0ff530d9704e1dd5f4c08205dc0d2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nbc.com/2025/07/30/gdp-q2-2025-.html" TargetMode="External"/><Relationship Id="rId28" Type="http://schemas.openxmlformats.org/officeDocument/2006/relationships/footer" Target="footer4.xml"/><Relationship Id="rId10" Type="http://schemas.openxmlformats.org/officeDocument/2006/relationships/endnotes" Target="endnotes.xml"/><Relationship Id="rId19" Type="http://schemas.microsoft.com/office/2007/relationships/hdphoto" Target="media/hdphoto1.wdp"/><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federalreserve.gov/newsevents/pressreleases/monetary20250730a.htm"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2.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3.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4.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1513</Words>
  <Characters>8025</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4</cp:revision>
  <cp:lastPrinted>2025-06-04T15:48:00Z</cp:lastPrinted>
  <dcterms:created xsi:type="dcterms:W3CDTF">2025-08-01T14:33:00Z</dcterms:created>
  <dcterms:modified xsi:type="dcterms:W3CDTF">2025-08-01T18:39:00Z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