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77CFFE9D" w:rsidR="00CE7DF2" w:rsidRPr="00126EFF" w:rsidRDefault="008C716E" w:rsidP="00BF0243">
      <w:pPr>
        <w:rPr>
          <w:rFonts w:eastAsia="Times New Roman" w:cstheme="minorHAnsi"/>
          <w:color w:val="58595B"/>
          <w:sz w:val="20"/>
          <w:szCs w:val="20"/>
        </w:rPr>
      </w:pPr>
      <w:bookmarkStart w:id="0" w:name="_Hlk33428732"/>
      <w:bookmarkEnd w:id="0"/>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09228E23" w:rsidR="00310271" w:rsidRPr="00053804" w:rsidRDefault="00DC70D3" w:rsidP="00BF0243">
      <w:pPr>
        <w:ind w:left="720"/>
        <w:rPr>
          <w:rFonts w:eastAsia="Proxima Nova Light" w:cstheme="minorHAnsi"/>
          <w:color w:val="005EA4"/>
          <w:sz w:val="44"/>
          <w:szCs w:val="44"/>
        </w:rPr>
      </w:pPr>
      <w:r>
        <w:rPr>
          <w:rFonts w:eastAsia="Times New Roman" w:cstheme="minorHAnsi"/>
          <w:b/>
          <w:bCs/>
          <w:color w:val="005EA4"/>
          <w:sz w:val="44"/>
          <w:szCs w:val="44"/>
        </w:rPr>
        <w:t>September</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269C9C13" w14:textId="4D46B21F" w:rsidR="00257C1B" w:rsidRPr="00FF2A06" w:rsidRDefault="00257C1B" w:rsidP="00257C1B">
      <w:pPr>
        <w:rPr>
          <w:color w:val="58595B"/>
        </w:rPr>
      </w:pPr>
      <w:r w:rsidRPr="00FF2A06">
        <w:rPr>
          <w:color w:val="58595B"/>
        </w:rPr>
        <w:t xml:space="preserve">Stocks powered higher again in September as investors largely ignored an already priced-in government </w:t>
      </w:r>
      <w:r w:rsidR="002F35A7">
        <w:rPr>
          <w:color w:val="58595B"/>
        </w:rPr>
        <w:t>shutdown</w:t>
      </w:r>
      <w:r w:rsidRPr="00FF2A06">
        <w:rPr>
          <w:color w:val="58595B"/>
        </w:rPr>
        <w:t>. The latest report on US economic growth was solid, with the unflinching US consumer the star of the show. The Federal Reserve (Fed) followed through on a much-telegraphed rate cut while hinting that more were on their way. The housing market also showed signs of life.</w:t>
      </w:r>
    </w:p>
    <w:p w14:paraId="4E85FC12" w14:textId="77777777" w:rsidR="00CE233B" w:rsidRPr="00CE233B" w:rsidRDefault="00CE233B" w:rsidP="00CE233B">
      <w:pPr>
        <w:pStyle w:val="Heading2"/>
        <w:rPr>
          <w:rFonts w:asciiTheme="minorHAnsi" w:hAnsiTheme="minorHAnsi" w:cstheme="minorHAnsi"/>
          <w:color w:val="005EA4"/>
        </w:rPr>
      </w:pPr>
      <w:r w:rsidRPr="00CE233B">
        <w:rPr>
          <w:rFonts w:asciiTheme="minorHAnsi" w:hAnsiTheme="minorHAnsi" w:cstheme="minorHAnsi"/>
          <w:color w:val="005EA4"/>
        </w:rPr>
        <w:t>Consumers Keep Spending, Driving Markets to Fresh Highs</w:t>
      </w:r>
    </w:p>
    <w:p w14:paraId="39A80744" w14:textId="77777777" w:rsidR="006D6D46" w:rsidRPr="00FF2A06" w:rsidRDefault="006D6D46" w:rsidP="006D6D46">
      <w:pPr>
        <w:rPr>
          <w:color w:val="58595B"/>
        </w:rPr>
      </w:pPr>
      <w:r w:rsidRPr="00FF2A06">
        <w:rPr>
          <w:color w:val="58595B"/>
        </w:rPr>
        <w:t>The markets sustained their historic rise during September, with the tech-heavy NASDAQ Composite Index (COMP) and the Dow Jones Industrial Average® (DJIA) setting fresh new highs. For the month, the COMP and S&amp;P 500® (SPX) gained 5.6% and 3.5% respectively while the DJIA was up almost 2%. All major indices have now booked at least five months of consecutive monthly gains.</w:t>
      </w:r>
    </w:p>
    <w:p w14:paraId="4CDA4C51" w14:textId="77777777" w:rsidR="006D6D46" w:rsidRPr="00FF2A06" w:rsidRDefault="006D6D46" w:rsidP="006D6D46">
      <w:pPr>
        <w:rPr>
          <w:color w:val="58595B"/>
        </w:rPr>
      </w:pPr>
    </w:p>
    <w:p w14:paraId="7E2B9BFC" w14:textId="77777777" w:rsidR="006D6D46" w:rsidRPr="00FF2A06" w:rsidRDefault="006D6D46" w:rsidP="006D6D46">
      <w:pPr>
        <w:rPr>
          <w:color w:val="58595B"/>
        </w:rPr>
      </w:pPr>
      <w:r w:rsidRPr="00FF2A06">
        <w:rPr>
          <w:color w:val="58595B"/>
        </w:rPr>
        <w:t>A big driver of record stock prices is the US consumer. Despite a litany of headwinds –including stubborn inflation, a softening job market, and worries about future growth – the American consumer continues to spend. Consumer spending was 2.5% during the second quarter and was in the 3.9% to 4.0% range for most of 2024. Plus, its contribution to Gross Domestic Product (GDP) was above 2.5% during the same period, a significant feat.</w:t>
      </w:r>
    </w:p>
    <w:p w14:paraId="2D9E403D" w14:textId="77777777" w:rsidR="00E76A5C" w:rsidRDefault="00E76A5C" w:rsidP="009A448E">
      <w:pPr>
        <w:rPr>
          <w:rFonts w:cstheme="minorHAnsi"/>
          <w:color w:val="58595B"/>
        </w:rPr>
      </w:pPr>
    </w:p>
    <w:p w14:paraId="284A9595" w14:textId="77777777" w:rsidR="00E76A5C" w:rsidRPr="00124661" w:rsidRDefault="00E76A5C" w:rsidP="009A448E">
      <w:pPr>
        <w:rPr>
          <w:rFonts w:cstheme="minorHAnsi"/>
          <w:color w:val="58595B"/>
        </w:rPr>
      </w:pPr>
    </w:p>
    <w:p w14:paraId="23E1C8B0" w14:textId="77777777" w:rsidR="00F40E86" w:rsidRDefault="00F40E86" w:rsidP="00F40E86">
      <w:pPr>
        <w:jc w:val="center"/>
      </w:pPr>
      <w:r>
        <w:rPr>
          <w:noProof/>
        </w:rPr>
        <w:drawing>
          <wp:inline distT="0" distB="0" distL="0" distR="0" wp14:anchorId="5CBDA445" wp14:editId="7253D0F7">
            <wp:extent cx="5943600" cy="3001010"/>
            <wp:effectExtent l="19050" t="19050" r="19050" b="27940"/>
            <wp:docPr id="487350777"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50777" name="Picture 1" descr="A graph showing the growth of the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001010"/>
                    </a:xfrm>
                    <a:prstGeom prst="rect">
                      <a:avLst/>
                    </a:prstGeom>
                    <a:ln>
                      <a:solidFill>
                        <a:schemeClr val="accent1"/>
                      </a:solidFill>
                    </a:ln>
                  </pic:spPr>
                </pic:pic>
              </a:graphicData>
            </a:graphic>
          </wp:inline>
        </w:drawing>
      </w:r>
    </w:p>
    <w:p w14:paraId="27DCCD53" w14:textId="77777777" w:rsidR="00F40E86" w:rsidRDefault="00F40E86" w:rsidP="00F40E86">
      <w:pPr>
        <w:jc w:val="center"/>
      </w:pPr>
      <w:r w:rsidRPr="007E6DA0">
        <w:t xml:space="preserve">Source: </w:t>
      </w:r>
      <w:hyperlink r:id="rId20" w:history="1">
        <w:r w:rsidRPr="007E6DA0">
          <w:rPr>
            <w:rStyle w:val="Hyperlink"/>
          </w:rPr>
          <w:t>Wall Street Journal</w:t>
        </w:r>
      </w:hyperlink>
    </w:p>
    <w:p w14:paraId="4ADE6864" w14:textId="77777777" w:rsidR="00E76A5C" w:rsidRPr="00FB0056" w:rsidRDefault="00E76A5C" w:rsidP="009A448E">
      <w:pPr>
        <w:jc w:val="center"/>
        <w:rPr>
          <w:rFonts w:cstheme="minorHAnsi"/>
        </w:rPr>
      </w:pPr>
    </w:p>
    <w:p w14:paraId="75D4BD3A" w14:textId="77777777" w:rsidR="00FD4128" w:rsidRPr="00FD4128" w:rsidRDefault="00FD4128" w:rsidP="00FD4128">
      <w:pPr>
        <w:pStyle w:val="Heading2"/>
        <w:rPr>
          <w:rFonts w:asciiTheme="minorHAnsi" w:hAnsiTheme="minorHAnsi" w:cstheme="minorHAnsi"/>
          <w:color w:val="005EA4"/>
        </w:rPr>
      </w:pPr>
      <w:r w:rsidRPr="00FD4128">
        <w:rPr>
          <w:rFonts w:asciiTheme="minorHAnsi" w:hAnsiTheme="minorHAnsi" w:cstheme="minorHAnsi"/>
          <w:color w:val="005EA4"/>
        </w:rPr>
        <w:t>GDP Rebounds as Imports Ease</w:t>
      </w:r>
    </w:p>
    <w:p w14:paraId="52EB5BCE" w14:textId="1BF59FEA" w:rsidR="00AA3C1E" w:rsidRPr="00FF2A06" w:rsidRDefault="007F4DAC" w:rsidP="00AA3C1E">
      <w:pPr>
        <w:rPr>
          <w:color w:val="58595B"/>
        </w:rPr>
      </w:pPr>
      <w:r w:rsidRPr="00FF2A06">
        <w:rPr>
          <w:color w:val="58595B"/>
        </w:rPr>
        <w:t xml:space="preserve">The nation's output of goods and services rebounded significantly in the second quarter, according to the third and final estimate by the Bureau of Economic Analysis. GDP delivered a </w:t>
      </w:r>
      <w:r w:rsidR="00E361B6" w:rsidRPr="00FF2A06">
        <w:rPr>
          <w:color w:val="58595B"/>
        </w:rPr>
        <w:t xml:space="preserve">3.8% annual rate, outpacing estimates that called for a 3.3% jump and </w:t>
      </w:r>
      <w:proofErr w:type="gramStart"/>
      <w:r w:rsidR="00E361B6" w:rsidRPr="00FF2A06">
        <w:rPr>
          <w:color w:val="58595B"/>
        </w:rPr>
        <w:t>far</w:t>
      </w:r>
      <w:proofErr w:type="gramEnd"/>
      <w:r w:rsidR="00E361B6" w:rsidRPr="00FF2A06">
        <w:rPr>
          <w:color w:val="58595B"/>
        </w:rPr>
        <w:t xml:space="preserve"> better than the 0.6% drop during the first quarter. </w:t>
      </w:r>
    </w:p>
    <w:p w14:paraId="27070BC4" w14:textId="77777777" w:rsidR="00AA3C1E" w:rsidRPr="00FF2A06" w:rsidRDefault="00AA3C1E" w:rsidP="00AA3C1E">
      <w:pPr>
        <w:rPr>
          <w:color w:val="58595B"/>
        </w:rPr>
      </w:pPr>
    </w:p>
    <w:p w14:paraId="19E166DE" w14:textId="77777777" w:rsidR="002D64A9" w:rsidRPr="00FF2A06" w:rsidRDefault="002D64A9" w:rsidP="002D64A9">
      <w:pPr>
        <w:rPr>
          <w:color w:val="58595B"/>
        </w:rPr>
      </w:pPr>
      <w:r w:rsidRPr="00FF2A06">
        <w:rPr>
          <w:color w:val="58595B"/>
        </w:rPr>
        <w:t xml:space="preserve">The first quarter drop was due to a surge in imports – which subtract from GDP – as businesses tried to stave off the </w:t>
      </w:r>
      <w:r w:rsidRPr="00FF2A06">
        <w:rPr>
          <w:color w:val="58595B"/>
        </w:rPr>
        <w:lastRenderedPageBreak/>
        <w:t>unpredictable effects of the Trump administration's trade policy. Imports normalized as expected during the second quarter, falling by 29% and boosting second quarter growth by more than 5%.</w:t>
      </w:r>
    </w:p>
    <w:p w14:paraId="3A7DDC09" w14:textId="77777777" w:rsidR="003C566E" w:rsidRPr="00FF2A06" w:rsidRDefault="003C566E" w:rsidP="002D64A9">
      <w:pPr>
        <w:rPr>
          <w:color w:val="58595B"/>
        </w:rPr>
      </w:pPr>
    </w:p>
    <w:p w14:paraId="67F66393" w14:textId="77777777" w:rsidR="003C566E" w:rsidRPr="00FF2A06" w:rsidRDefault="003C566E" w:rsidP="003C566E">
      <w:pPr>
        <w:rPr>
          <w:color w:val="58595B"/>
        </w:rPr>
      </w:pPr>
      <w:r w:rsidRPr="00FF2A06">
        <w:rPr>
          <w:color w:val="58595B"/>
        </w:rPr>
        <w:t>Also adding to growth during the second quarter was -- once again -- the resilience of the US consumer to spend. Despite headwinds from unpredictable erratic trade policies, a slowing job market, and stubborn inflation, consumer spending rose at a 2.5% annual pace during the quarter, up significantly from the 0.6% reading during the first quarter and well above estimates.</w:t>
      </w:r>
    </w:p>
    <w:p w14:paraId="40F363F0" w14:textId="77777777" w:rsidR="003C566E" w:rsidRPr="00FF2A06" w:rsidRDefault="003C566E" w:rsidP="003C566E">
      <w:pPr>
        <w:rPr>
          <w:color w:val="58595B"/>
        </w:rPr>
      </w:pPr>
    </w:p>
    <w:p w14:paraId="7256F9CE" w14:textId="77777777" w:rsidR="003C566E" w:rsidRDefault="003C566E" w:rsidP="003C566E">
      <w:r w:rsidRPr="00FF2A06">
        <w:rPr>
          <w:color w:val="58595B"/>
        </w:rPr>
        <w:t xml:space="preserve">Spending on services grew at a 2.6% annual rate, well above expectations. On the other hand, private investment fell during the quarter, including a 5.1% drop in residential investment. Business inventories also fell. The first estimate of third quarter GDP will be released at the end of October. </w:t>
      </w:r>
      <w:hyperlink r:id="rId21" w:history="1">
        <w:r w:rsidRPr="0092403F">
          <w:rPr>
            <w:rStyle w:val="Hyperlink"/>
          </w:rPr>
          <w:t>AP News</w:t>
        </w:r>
      </w:hyperlink>
    </w:p>
    <w:p w14:paraId="2CDC8842" w14:textId="77777777" w:rsidR="008C31AD" w:rsidRPr="008C31AD" w:rsidRDefault="008C31AD" w:rsidP="009A448E">
      <w:pPr>
        <w:rPr>
          <w:rFonts w:cstheme="minorHAnsi"/>
          <w:color w:val="58595B"/>
        </w:rPr>
      </w:pPr>
    </w:p>
    <w:p w14:paraId="02FCA98E" w14:textId="77777777" w:rsidR="00D00879" w:rsidRPr="00D00879" w:rsidRDefault="00D00879" w:rsidP="00D00879">
      <w:pPr>
        <w:pStyle w:val="Heading2"/>
        <w:rPr>
          <w:rFonts w:asciiTheme="minorHAnsi" w:hAnsiTheme="minorHAnsi" w:cstheme="minorHAnsi"/>
          <w:color w:val="005EA4"/>
        </w:rPr>
      </w:pPr>
      <w:r w:rsidRPr="00D00879">
        <w:rPr>
          <w:rFonts w:asciiTheme="minorHAnsi" w:hAnsiTheme="minorHAnsi" w:cstheme="minorHAnsi"/>
          <w:color w:val="005EA4"/>
        </w:rPr>
        <w:t>Fed Cuts Rates, Signal More on the Way</w:t>
      </w:r>
    </w:p>
    <w:p w14:paraId="0F22D374" w14:textId="77777777" w:rsidR="0098279E" w:rsidRPr="00FF2A06" w:rsidRDefault="0098279E" w:rsidP="0098279E">
      <w:pPr>
        <w:rPr>
          <w:color w:val="58595B"/>
        </w:rPr>
      </w:pPr>
      <w:r w:rsidRPr="00FF2A06">
        <w:rPr>
          <w:color w:val="58595B"/>
        </w:rPr>
        <w:t>In one of the most highly anticipated and telegraphed moves, the Fed lowered interest rates by 0.25% during its September meeting. The target federal funds rate now stands at a range between 4.00%-4.25%. The 11-to-1 vote was less contentious than predicted, with newly installed Governor Stephen Miran the only policymaker voting against the quarter-point move. Miran wanted a more aggressive half-point reduction.</w:t>
      </w:r>
    </w:p>
    <w:p w14:paraId="6A1163F8" w14:textId="77777777" w:rsidR="0098279E" w:rsidRPr="00FF2A06" w:rsidRDefault="0098279E" w:rsidP="0098279E">
      <w:pPr>
        <w:rPr>
          <w:color w:val="58595B"/>
        </w:rPr>
      </w:pPr>
    </w:p>
    <w:p w14:paraId="4616CE26" w14:textId="2E02848C" w:rsidR="0098279E" w:rsidRPr="00FF2A06" w:rsidRDefault="0098279E" w:rsidP="0098279E">
      <w:pPr>
        <w:rPr>
          <w:color w:val="58595B"/>
        </w:rPr>
      </w:pPr>
      <w:r w:rsidRPr="00FF2A06">
        <w:rPr>
          <w:color w:val="58595B"/>
        </w:rPr>
        <w:t>According to the Fed's post-meeting statement, the central bank continues to manage both upside and downside risks to its dual mandate of maximum employment and 2% inflation. "Job gains have slowed</w:t>
      </w:r>
      <w:r w:rsidR="00CB30ED">
        <w:rPr>
          <w:color w:val="58595B"/>
        </w:rPr>
        <w:t>,</w:t>
      </w:r>
      <w:r w:rsidRPr="00FF2A06">
        <w:rPr>
          <w:color w:val="58595B"/>
        </w:rPr>
        <w:t xml:space="preserve">" while inflation "remains somewhat elevated." Meanwhile, "economic activity moderated in the first half of the year." </w:t>
      </w:r>
    </w:p>
    <w:p w14:paraId="64C1E687" w14:textId="77777777" w:rsidR="0098279E" w:rsidRPr="00FF2A06" w:rsidRDefault="0098279E" w:rsidP="0098279E">
      <w:pPr>
        <w:rPr>
          <w:color w:val="58595B"/>
        </w:rPr>
      </w:pPr>
    </w:p>
    <w:p w14:paraId="73EF6CCE" w14:textId="77777777" w:rsidR="0098279E" w:rsidRPr="00FF2A06" w:rsidRDefault="0098279E" w:rsidP="0098279E">
      <w:pPr>
        <w:rPr>
          <w:color w:val="58595B"/>
        </w:rPr>
      </w:pPr>
      <w:r w:rsidRPr="00FF2A06">
        <w:rPr>
          <w:color w:val="58595B"/>
        </w:rPr>
        <w:t>This balancing act was emphasized by the fact that despite the Fed's reduction in rates, the central bank continues to reduce its security holdings, which have a tightening effect on money supply.</w:t>
      </w:r>
    </w:p>
    <w:p w14:paraId="4D05A703" w14:textId="77777777" w:rsidR="00BC0621" w:rsidRPr="00FF2A06" w:rsidRDefault="00BC0621" w:rsidP="0098279E">
      <w:pPr>
        <w:rPr>
          <w:color w:val="58595B"/>
        </w:rPr>
      </w:pPr>
    </w:p>
    <w:p w14:paraId="432E1558" w14:textId="77777777" w:rsidR="0098279E" w:rsidRPr="00FF2A06" w:rsidRDefault="0098279E" w:rsidP="0098279E">
      <w:pPr>
        <w:rPr>
          <w:color w:val="58595B"/>
        </w:rPr>
      </w:pPr>
      <w:r w:rsidRPr="00FF2A06">
        <w:rPr>
          <w:color w:val="58595B"/>
        </w:rPr>
        <w:t>At his post-meeting news conference, Fed Chair Jerome Powell emphasized the Fed's growing concern over the outlook for job growth, saying "the marked slowing in both the supply of and demand for workers is unusual in this less dynamic and somewhat softer labor market...the downside risks to employment appear to have risen."</w:t>
      </w:r>
    </w:p>
    <w:p w14:paraId="29A8D8DF" w14:textId="77777777" w:rsidR="00BC0621" w:rsidRPr="00FF2A06" w:rsidRDefault="00BC0621" w:rsidP="0098279E">
      <w:pPr>
        <w:rPr>
          <w:color w:val="58595B"/>
        </w:rPr>
      </w:pPr>
    </w:p>
    <w:p w14:paraId="59F5AA35" w14:textId="77777777" w:rsidR="0098279E" w:rsidRPr="00FF2A06" w:rsidRDefault="0098279E" w:rsidP="0098279E">
      <w:pPr>
        <w:rPr>
          <w:color w:val="58595B"/>
        </w:rPr>
      </w:pPr>
      <w:r w:rsidRPr="00FF2A06">
        <w:rPr>
          <w:color w:val="58595B"/>
        </w:rPr>
        <w:t>The Fed also signaled that two more rate cuts are likely before the end of the year.</w:t>
      </w:r>
    </w:p>
    <w:p w14:paraId="5D4352B2" w14:textId="77777777" w:rsidR="00BC0621" w:rsidRPr="00FF2A06" w:rsidRDefault="00BC0621" w:rsidP="0098279E">
      <w:pPr>
        <w:rPr>
          <w:color w:val="58595B"/>
        </w:rPr>
      </w:pPr>
    </w:p>
    <w:p w14:paraId="408F99E8" w14:textId="77777777" w:rsidR="0098279E" w:rsidRDefault="0098279E" w:rsidP="0098279E">
      <w:r w:rsidRPr="00FF2A06">
        <w:rPr>
          <w:color w:val="58595B"/>
        </w:rPr>
        <w:t xml:space="preserve">Trump's well-advertised badgering of the Fed in general and Powell in particular – along with appointment Miran, who is viewed as a Trump loyalist – has many worried that the traditional independence of the central bank may be at risk. </w:t>
      </w:r>
      <w:hyperlink r:id="rId22" w:history="1">
        <w:r w:rsidRPr="00AF21BD">
          <w:rPr>
            <w:rStyle w:val="Hyperlink"/>
          </w:rPr>
          <w:t>CNBC</w:t>
        </w:r>
      </w:hyperlink>
    </w:p>
    <w:p w14:paraId="368A1FE3" w14:textId="77777777" w:rsidR="00A5513B" w:rsidRPr="00A5513B" w:rsidRDefault="00A5513B" w:rsidP="00A5513B">
      <w:pPr>
        <w:pStyle w:val="Heading2"/>
        <w:rPr>
          <w:rFonts w:asciiTheme="minorHAnsi" w:hAnsiTheme="minorHAnsi" w:cstheme="minorHAnsi"/>
          <w:color w:val="005EA4"/>
        </w:rPr>
      </w:pPr>
      <w:r w:rsidRPr="00A5513B">
        <w:rPr>
          <w:rFonts w:asciiTheme="minorHAnsi" w:hAnsiTheme="minorHAnsi" w:cstheme="minorHAnsi"/>
          <w:color w:val="005EA4"/>
        </w:rPr>
        <w:t>New Home Sales Surge to Three Year High</w:t>
      </w:r>
    </w:p>
    <w:p w14:paraId="1021CF35" w14:textId="3A824AB8" w:rsidR="00DB66E1" w:rsidRPr="00FF2A06" w:rsidRDefault="00DB66E1" w:rsidP="00DB66E1">
      <w:pPr>
        <w:rPr>
          <w:color w:val="58595B"/>
        </w:rPr>
      </w:pPr>
      <w:r w:rsidRPr="00FF2A06">
        <w:rPr>
          <w:color w:val="58595B"/>
        </w:rPr>
        <w:t xml:space="preserve">The battered housing market got a breath of fresh air in August, according to the latest data from the US Census Bureau. Sales of newly built </w:t>
      </w:r>
      <w:r w:rsidR="00ED0975">
        <w:rPr>
          <w:color w:val="58595B"/>
        </w:rPr>
        <w:t xml:space="preserve">single-family homes came in at a </w:t>
      </w:r>
      <w:proofErr w:type="gramStart"/>
      <w:r w:rsidR="00ED0975">
        <w:rPr>
          <w:color w:val="58595B"/>
        </w:rPr>
        <w:t>seasonally-adjusted</w:t>
      </w:r>
      <w:proofErr w:type="gramEnd"/>
      <w:r w:rsidR="00ED0975">
        <w:rPr>
          <w:color w:val="58595B"/>
        </w:rPr>
        <w:t xml:space="preserve"> annual rate of 800,000 during August, up 21% compared to July and 15% better than a year ago</w:t>
      </w:r>
      <w:r w:rsidRPr="00FF2A06">
        <w:rPr>
          <w:color w:val="58595B"/>
        </w:rPr>
        <w:t xml:space="preserve">. </w:t>
      </w:r>
    </w:p>
    <w:p w14:paraId="4D0E2954" w14:textId="77777777" w:rsidR="00DB66E1" w:rsidRPr="00FF2A06" w:rsidRDefault="00DB66E1" w:rsidP="00DB66E1">
      <w:pPr>
        <w:rPr>
          <w:color w:val="58595B"/>
        </w:rPr>
      </w:pPr>
    </w:p>
    <w:p w14:paraId="7C16DFD2" w14:textId="77777777" w:rsidR="00DB66E1" w:rsidRPr="00FF2A06" w:rsidRDefault="00DB66E1" w:rsidP="00DB66E1">
      <w:pPr>
        <w:rPr>
          <w:color w:val="58595B"/>
        </w:rPr>
      </w:pPr>
      <w:r w:rsidRPr="00FF2A06">
        <w:rPr>
          <w:color w:val="58595B"/>
        </w:rPr>
        <w:t>August's sales were far better than what economists had expected and the highest level since January 2022, over three years ago. The optimistic results also came before mortgage rates dropped below 6.4% in recent weeks.</w:t>
      </w:r>
    </w:p>
    <w:p w14:paraId="45D4104C" w14:textId="77777777" w:rsidR="00DB66E1" w:rsidRPr="00FF2A06" w:rsidRDefault="00DB66E1" w:rsidP="00DB66E1">
      <w:pPr>
        <w:rPr>
          <w:color w:val="58595B"/>
        </w:rPr>
      </w:pPr>
    </w:p>
    <w:p w14:paraId="149564A4" w14:textId="77777777" w:rsidR="00DB66E1" w:rsidRPr="00FF2A06" w:rsidRDefault="00DB66E1" w:rsidP="00DB66E1">
      <w:pPr>
        <w:rPr>
          <w:color w:val="58595B"/>
        </w:rPr>
      </w:pPr>
      <w:r w:rsidRPr="00FF2A06">
        <w:rPr>
          <w:color w:val="58595B"/>
        </w:rPr>
        <w:t>Driving the results were buyer incentives offered by builders. These incentives include buying down mortgage rates, which gives buyers a credit at closing equivalent to a reduced interest rate. High interest rates have been one of the biggest factors behind a stagnant housing market.</w:t>
      </w:r>
    </w:p>
    <w:p w14:paraId="620826E4" w14:textId="77777777" w:rsidR="00DB66E1" w:rsidRPr="00FF2A06" w:rsidRDefault="00DB66E1" w:rsidP="00DB66E1">
      <w:pPr>
        <w:rPr>
          <w:color w:val="58595B"/>
        </w:rPr>
      </w:pPr>
    </w:p>
    <w:p w14:paraId="4242AA0A" w14:textId="77777777" w:rsidR="00DB66E1" w:rsidRPr="00FF2A06" w:rsidRDefault="00DB66E1" w:rsidP="00DB66E1">
      <w:pPr>
        <w:rPr>
          <w:color w:val="58595B"/>
        </w:rPr>
      </w:pPr>
      <w:r w:rsidRPr="00FF2A06">
        <w:rPr>
          <w:color w:val="58595B"/>
        </w:rPr>
        <w:t>Prices for new homes have also fallen below those for existing homes recently. That has made new home builds more attractive and reverses a long-standing trend.</w:t>
      </w:r>
    </w:p>
    <w:p w14:paraId="12821FE5" w14:textId="77777777" w:rsidR="00DB66E1" w:rsidRDefault="00DB66E1" w:rsidP="00DB66E1">
      <w:r w:rsidRPr="00FF2A06">
        <w:rPr>
          <w:color w:val="58595B"/>
        </w:rPr>
        <w:lastRenderedPageBreak/>
        <w:t>Builders have also been willing to cut prices, with 39% of builders reporting cutting prices in September, up from 37% during the prior month and the highest price cuts in more than five years</w:t>
      </w:r>
      <w:r>
        <w:t xml:space="preserve">. </w:t>
      </w:r>
      <w:hyperlink r:id="rId23" w:history="1">
        <w:r w:rsidRPr="00B94BA9">
          <w:rPr>
            <w:rStyle w:val="Hyperlink"/>
          </w:rPr>
          <w:t>Realtor.com</w:t>
        </w:r>
      </w:hyperlink>
    </w:p>
    <w:p w14:paraId="642DE185" w14:textId="77777777" w:rsidR="00E729B6" w:rsidRPr="00126EFF" w:rsidRDefault="00E729B6" w:rsidP="00E729B6">
      <w:pPr>
        <w:rPr>
          <w:rFonts w:eastAsia="Avenir" w:cstheme="minorHAnsi"/>
          <w:color w:val="58595B"/>
        </w:rPr>
      </w:pPr>
    </w:p>
    <w:p w14:paraId="6559A5B9" w14:textId="559EF8D0" w:rsidR="00BA3AC9" w:rsidRPr="00126EFF" w:rsidRDefault="00BA3AC9" w:rsidP="006F28A9">
      <w:pPr>
        <w:ind w:right="360"/>
        <w:rPr>
          <w:rFonts w:eastAsia="Avenir" w:cstheme="minorHAnsi"/>
          <w:color w:val="58595B"/>
          <w:sz w:val="16"/>
          <w:szCs w:val="16"/>
        </w:rPr>
      </w:pPr>
      <w:r w:rsidRPr="00126EFF">
        <w:rPr>
          <w:rFonts w:eastAsia="Avenir" w:cstheme="minorHAnsi"/>
          <w:color w:val="58595B"/>
          <w:sz w:val="16"/>
          <w:szCs w:val="16"/>
        </w:rPr>
        <w:t xml:space="preserve">This research material was prepared by </w:t>
      </w:r>
      <w:r w:rsidR="00C64F63" w:rsidRPr="00126EFF">
        <w:rPr>
          <w:rFonts w:eastAsia="Avenir" w:cstheme="minorHAnsi"/>
          <w:color w:val="58595B"/>
          <w:sz w:val="16"/>
          <w:szCs w:val="16"/>
        </w:rPr>
        <w:t>Burritt Research, Inc</w:t>
      </w:r>
      <w:r w:rsidRPr="00126EFF">
        <w:rPr>
          <w:rFonts w:eastAsia="Avenir" w:cstheme="minorHAnsi"/>
          <w:color w:val="58595B"/>
          <w:sz w:val="16"/>
          <w:szCs w:val="16"/>
        </w:rPr>
        <w:t>.</w:t>
      </w:r>
    </w:p>
    <w:p w14:paraId="6645C804" w14:textId="77777777" w:rsidR="00FE629C" w:rsidRPr="00126EFF" w:rsidRDefault="00FE629C" w:rsidP="006F28A9">
      <w:pPr>
        <w:ind w:right="360"/>
        <w:rPr>
          <w:rFonts w:eastAsia="Avenir" w:cstheme="minorHAnsi"/>
          <w:color w:val="58595B"/>
          <w:sz w:val="16"/>
          <w:szCs w:val="16"/>
        </w:rPr>
      </w:pPr>
    </w:p>
    <w:p w14:paraId="099737C6" w14:textId="77777777" w:rsidR="00B106D8" w:rsidRPr="00126EFF" w:rsidRDefault="00B106D8" w:rsidP="00B106D8">
      <w:pPr>
        <w:ind w:right="360"/>
        <w:rPr>
          <w:rFonts w:eastAsia="Avenir" w:cstheme="minorHAnsi"/>
          <w:b/>
          <w:color w:val="58595B"/>
          <w:sz w:val="16"/>
          <w:szCs w:val="16"/>
        </w:rPr>
      </w:pPr>
      <w:r w:rsidRPr="00126EFF">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126EFF">
        <w:rPr>
          <w:rFonts w:eastAsia="Avenir" w:cstheme="minorHAnsi"/>
          <w:color w:val="58595B"/>
          <w:sz w:val="16"/>
          <w:szCs w:val="16"/>
        </w:rPr>
        <w:t>meeting</w:t>
      </w:r>
      <w:proofErr w:type="gramEnd"/>
      <w:r w:rsidRPr="00126EFF">
        <w:rPr>
          <w:rFonts w:eastAsia="Avenir" w:cstheme="minorHAnsi"/>
          <w:color w:val="58595B"/>
          <w:sz w:val="16"/>
          <w:szCs w:val="16"/>
        </w:rPr>
        <w:t xml:space="preserve"> the particular investment needs of any investor. </w:t>
      </w:r>
      <w:r w:rsidRPr="00126EFF">
        <w:rPr>
          <w:rFonts w:eastAsia="Avenir" w:cstheme="minorHAnsi"/>
          <w:b/>
          <w:color w:val="58595B"/>
          <w:sz w:val="16"/>
          <w:szCs w:val="16"/>
        </w:rPr>
        <w:t>Past performance does not guarantee future results.</w:t>
      </w:r>
    </w:p>
    <w:p w14:paraId="094364AD" w14:textId="77777777" w:rsidR="00B106D8" w:rsidRPr="00126EFF" w:rsidRDefault="00B106D8" w:rsidP="00B106D8">
      <w:pPr>
        <w:ind w:right="360"/>
        <w:rPr>
          <w:rFonts w:eastAsia="Avenir" w:cstheme="minorHAnsi"/>
          <w:b/>
          <w:color w:val="58595B"/>
          <w:sz w:val="16"/>
          <w:szCs w:val="16"/>
        </w:rPr>
      </w:pPr>
    </w:p>
    <w:p w14:paraId="7979E7BB" w14:textId="77777777" w:rsidR="00B106D8" w:rsidRDefault="00B106D8" w:rsidP="00B106D8">
      <w:pPr>
        <w:ind w:right="360"/>
        <w:rPr>
          <w:rFonts w:eastAsia="Avenir" w:cstheme="minorHAnsi"/>
          <w:color w:val="58595B"/>
          <w:sz w:val="16"/>
          <w:szCs w:val="16"/>
        </w:rPr>
      </w:pPr>
      <w:r w:rsidRPr="00126EFF">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9A06700" w14:textId="77777777" w:rsidR="00C13591" w:rsidRPr="00126EFF" w:rsidRDefault="00C13591" w:rsidP="00B106D8">
      <w:pPr>
        <w:ind w:right="360"/>
        <w:rPr>
          <w:rFonts w:eastAsia="Avenir" w:cstheme="minorHAnsi"/>
          <w:color w:val="58595B"/>
          <w:sz w:val="16"/>
          <w:szCs w:val="16"/>
        </w:rPr>
      </w:pPr>
    </w:p>
    <w:p w14:paraId="54BBFB8D" w14:textId="77777777" w:rsidR="00B106D8" w:rsidRPr="00126EFF" w:rsidRDefault="00B106D8" w:rsidP="00B106D8">
      <w:pPr>
        <w:ind w:right="360"/>
        <w:rPr>
          <w:rFonts w:eastAsia="Avenir" w:cstheme="minorHAnsi"/>
          <w:color w:val="58595B"/>
          <w:sz w:val="16"/>
          <w:szCs w:val="16"/>
        </w:rPr>
      </w:pPr>
    </w:p>
    <w:p w14:paraId="4AAE2B8F" w14:textId="2DB04373"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126EFF">
        <w:rPr>
          <w:rFonts w:eastAsia="Avenir" w:cstheme="minorHAnsi"/>
          <w:color w:val="58595B"/>
          <w:sz w:val="16"/>
          <w:szCs w:val="16"/>
        </w:rPr>
        <w:t>value weighted</w:t>
      </w:r>
      <w:proofErr w:type="gramEnd"/>
      <w:r w:rsidRPr="00126EFF">
        <w:rPr>
          <w:rFonts w:eastAsia="Avenir" w:cstheme="minorHAnsi"/>
          <w:color w:val="58595B"/>
          <w:sz w:val="16"/>
          <w:szCs w:val="16"/>
        </w:rPr>
        <w:t xml:space="preserve"> index with each stock's weight in the index proportionate to its market value.</w:t>
      </w:r>
    </w:p>
    <w:p w14:paraId="16C9F6E7" w14:textId="77777777" w:rsidR="00B106D8" w:rsidRPr="00126EFF" w:rsidRDefault="00B106D8" w:rsidP="00B106D8">
      <w:pPr>
        <w:ind w:right="360"/>
        <w:rPr>
          <w:rFonts w:eastAsia="Avenir" w:cstheme="minorHAnsi"/>
          <w:color w:val="58595B"/>
          <w:sz w:val="16"/>
          <w:szCs w:val="16"/>
        </w:rPr>
      </w:pPr>
    </w:p>
    <w:p w14:paraId="5D11A940"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126EFF" w:rsidRDefault="00B106D8" w:rsidP="00B106D8">
      <w:pPr>
        <w:ind w:right="360"/>
        <w:rPr>
          <w:rFonts w:eastAsia="Avenir" w:cstheme="minorHAnsi"/>
          <w:color w:val="58595B"/>
          <w:sz w:val="16"/>
          <w:szCs w:val="16"/>
        </w:rPr>
      </w:pPr>
    </w:p>
    <w:p w14:paraId="7A01E923" w14:textId="03889211"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Dow Jones Industrial Average (DJIA) is a price-weighted average of 30 actively traded </w:t>
      </w:r>
      <w:r w:rsidR="00E9719E" w:rsidRPr="00126EFF">
        <w:rPr>
          <w:rFonts w:eastAsia="Avenir" w:cstheme="minorHAnsi"/>
          <w:color w:val="58595B"/>
          <w:sz w:val="16"/>
          <w:szCs w:val="16"/>
        </w:rPr>
        <w:t>"</w:t>
      </w:r>
      <w:r w:rsidRPr="00126EFF">
        <w:rPr>
          <w:rFonts w:eastAsia="Avenir" w:cstheme="minorHAnsi"/>
          <w:color w:val="58595B"/>
          <w:sz w:val="16"/>
          <w:szCs w:val="16"/>
        </w:rPr>
        <w:t>blue chip</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stocks, primarily industrials, but includes </w:t>
      </w:r>
      <w:proofErr w:type="gramStart"/>
      <w:r w:rsidRPr="00126EFF">
        <w:rPr>
          <w:rFonts w:eastAsia="Avenir" w:cstheme="minorHAnsi"/>
          <w:color w:val="58595B"/>
          <w:sz w:val="16"/>
          <w:szCs w:val="16"/>
        </w:rPr>
        <w:t>financials</w:t>
      </w:r>
      <w:proofErr w:type="gramEnd"/>
      <w:r w:rsidRPr="00126EFF">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126EFF" w:rsidRDefault="00B106D8" w:rsidP="00B106D8">
      <w:pPr>
        <w:ind w:right="360"/>
        <w:rPr>
          <w:rFonts w:eastAsia="Avenir" w:cstheme="minorHAnsi"/>
          <w:color w:val="58595B"/>
          <w:sz w:val="16"/>
          <w:szCs w:val="16"/>
        </w:rPr>
      </w:pPr>
    </w:p>
    <w:p w14:paraId="30F1270C" w14:textId="3C13E34A"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126EFF">
        <w:rPr>
          <w:rFonts w:eastAsia="Avenir" w:cstheme="minorHAnsi"/>
          <w:color w:val="58595B"/>
          <w:sz w:val="16"/>
          <w:szCs w:val="16"/>
        </w:rPr>
        <w:t>S</w:t>
      </w:r>
      <w:r w:rsidRPr="00126EFF">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126EFF" w:rsidRDefault="00B106D8" w:rsidP="00B106D8">
      <w:pPr>
        <w:ind w:right="360"/>
        <w:rPr>
          <w:rFonts w:eastAsia="Avenir" w:cstheme="minorHAnsi"/>
          <w:color w:val="58595B"/>
          <w:sz w:val="16"/>
          <w:szCs w:val="16"/>
        </w:rPr>
      </w:pPr>
    </w:p>
    <w:p w14:paraId="2C6F803A" w14:textId="38C12ED9"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short-</w:t>
      </w:r>
      <w:proofErr w:type="gramStart"/>
      <w:r w:rsidRPr="00126EFF">
        <w:rPr>
          <w:rFonts w:eastAsia="Avenir" w:cstheme="minorHAnsi"/>
          <w:color w:val="58595B"/>
          <w:sz w:val="16"/>
          <w:szCs w:val="16"/>
        </w:rPr>
        <w:t>term—</w:t>
      </w:r>
      <w:proofErr w:type="gramEnd"/>
      <w:r w:rsidRPr="00126EFF">
        <w:rPr>
          <w:rFonts w:eastAsia="Avenir" w:cstheme="minorHAnsi"/>
          <w:color w:val="58595B"/>
          <w:sz w:val="16"/>
          <w:szCs w:val="16"/>
        </w:rPr>
        <w:t xml:space="preserve">that is, six-month—outlook for, and sentiment about, the performance of the overall economy as it </w:t>
      </w:r>
      <w:proofErr w:type="gramStart"/>
      <w:r w:rsidRPr="00126EFF">
        <w:rPr>
          <w:rFonts w:eastAsia="Avenir" w:cstheme="minorHAnsi"/>
          <w:color w:val="58595B"/>
          <w:sz w:val="16"/>
          <w:szCs w:val="16"/>
        </w:rPr>
        <w:t>effects</w:t>
      </w:r>
      <w:proofErr w:type="gramEnd"/>
      <w:r w:rsidRPr="00126EFF">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126EFF" w:rsidRDefault="00B106D8" w:rsidP="00B106D8">
      <w:pPr>
        <w:ind w:right="360"/>
        <w:rPr>
          <w:rFonts w:eastAsia="Avenir" w:cstheme="minorHAnsi"/>
          <w:color w:val="58595B"/>
          <w:sz w:val="16"/>
          <w:szCs w:val="16"/>
        </w:rPr>
      </w:pPr>
    </w:p>
    <w:p w14:paraId="4568CBF8" w14:textId="77777777" w:rsidR="00FC7BD6" w:rsidRPr="00126EFF" w:rsidRDefault="00FC7BD6" w:rsidP="00BF0243">
      <w:pPr>
        <w:widowControl/>
        <w:rPr>
          <w:rFonts w:cstheme="minorHAnsi"/>
          <w:color w:val="58595B"/>
          <w:sz w:val="16"/>
          <w:szCs w:val="16"/>
        </w:rPr>
      </w:pPr>
    </w:p>
    <w:p w14:paraId="38BAF61A" w14:textId="77777777" w:rsidR="00FC7BD6" w:rsidRPr="00126EFF" w:rsidRDefault="00FC7BD6" w:rsidP="00BF0243">
      <w:pPr>
        <w:widowControl/>
        <w:rPr>
          <w:rFonts w:cstheme="minorHAnsi"/>
          <w:color w:val="58595B"/>
          <w:sz w:val="16"/>
          <w:szCs w:val="16"/>
        </w:rPr>
      </w:pPr>
    </w:p>
    <w:p w14:paraId="0A6BBA20" w14:textId="77777777" w:rsidR="00FC7BD6" w:rsidRPr="00126EFF" w:rsidRDefault="00FC7BD6" w:rsidP="00BF0243">
      <w:pPr>
        <w:widowControl/>
        <w:rPr>
          <w:rFonts w:cstheme="minorHAnsi"/>
          <w:color w:val="58595B"/>
          <w:sz w:val="16"/>
          <w:szCs w:val="16"/>
        </w:rPr>
      </w:pPr>
    </w:p>
    <w:p w14:paraId="1E5B4CA4" w14:textId="77777777" w:rsidR="00AC2F68" w:rsidRPr="00126EFF" w:rsidRDefault="00AC2F68" w:rsidP="00BF0243">
      <w:pPr>
        <w:widowControl/>
        <w:rPr>
          <w:rFonts w:cstheme="minorHAnsi"/>
          <w:color w:val="58595B"/>
          <w:sz w:val="16"/>
          <w:szCs w:val="16"/>
        </w:rPr>
      </w:pPr>
    </w:p>
    <w:p w14:paraId="21A20807" w14:textId="77777777" w:rsidR="003423BA" w:rsidRPr="00126EFF" w:rsidRDefault="003423BA" w:rsidP="00BF0243">
      <w:pPr>
        <w:widowControl/>
        <w:rPr>
          <w:rFonts w:cstheme="minorHAnsi"/>
          <w:color w:val="58595B"/>
          <w:sz w:val="16"/>
          <w:szCs w:val="16"/>
        </w:rPr>
      </w:pPr>
    </w:p>
    <w:p w14:paraId="384CED5D" w14:textId="77777777" w:rsidR="008A12E0" w:rsidRPr="00126EFF" w:rsidRDefault="008A12E0" w:rsidP="00BF0243">
      <w:pPr>
        <w:widowControl/>
        <w:rPr>
          <w:rFonts w:cstheme="minorHAnsi"/>
          <w:color w:val="58595B"/>
          <w:sz w:val="16"/>
          <w:szCs w:val="16"/>
        </w:rPr>
      </w:pPr>
    </w:p>
    <w:p w14:paraId="11905BA2" w14:textId="77777777" w:rsidR="00F65C37" w:rsidRDefault="00F65C37" w:rsidP="00BF0243">
      <w:pPr>
        <w:widowControl/>
        <w:rPr>
          <w:rFonts w:cstheme="minorHAnsi"/>
          <w:color w:val="58595B"/>
          <w:sz w:val="16"/>
          <w:szCs w:val="16"/>
        </w:rPr>
      </w:pPr>
    </w:p>
    <w:p w14:paraId="722F1D50" w14:textId="77777777" w:rsidR="00334F31" w:rsidRDefault="00334F31" w:rsidP="00BF0243">
      <w:pPr>
        <w:widowControl/>
        <w:rPr>
          <w:rFonts w:cstheme="minorHAnsi"/>
          <w:color w:val="58595B"/>
          <w:sz w:val="16"/>
          <w:szCs w:val="16"/>
        </w:rPr>
      </w:pPr>
    </w:p>
    <w:p w14:paraId="7492C6A9" w14:textId="77777777" w:rsidR="00100EFB" w:rsidRDefault="00100EFB" w:rsidP="00BF0243">
      <w:pPr>
        <w:widowControl/>
        <w:rPr>
          <w:rFonts w:cstheme="minorHAnsi"/>
          <w:color w:val="58595B"/>
          <w:sz w:val="16"/>
          <w:szCs w:val="16"/>
        </w:rPr>
      </w:pPr>
    </w:p>
    <w:p w14:paraId="70CEE53F" w14:textId="77777777" w:rsidR="008F081A" w:rsidRDefault="008F081A" w:rsidP="00BF0243">
      <w:pPr>
        <w:widowControl/>
        <w:rPr>
          <w:rFonts w:cstheme="minorHAnsi"/>
          <w:color w:val="58595B"/>
          <w:sz w:val="16"/>
          <w:szCs w:val="16"/>
        </w:rPr>
      </w:pPr>
    </w:p>
    <w:p w14:paraId="79DAF556" w14:textId="77777777" w:rsidR="008C31AD" w:rsidRPr="00126EFF" w:rsidRDefault="008C31AD" w:rsidP="00BF0243">
      <w:pPr>
        <w:widowControl/>
        <w:rPr>
          <w:rFonts w:cstheme="minorHAnsi"/>
          <w:color w:val="58595B"/>
          <w:sz w:val="16"/>
          <w:szCs w:val="16"/>
        </w:rPr>
      </w:pPr>
    </w:p>
    <w:p w14:paraId="05C49B31" w14:textId="77777777" w:rsidR="00FC7BD6" w:rsidRPr="00126EFF" w:rsidRDefault="00FC7BD6" w:rsidP="00BF0243">
      <w:pPr>
        <w:widowControl/>
        <w:rPr>
          <w:rFonts w:cstheme="minorHAnsi"/>
          <w:color w:val="58595B"/>
          <w:sz w:val="16"/>
          <w:szCs w:val="16"/>
        </w:rPr>
      </w:pPr>
    </w:p>
    <w:p w14:paraId="0BB0043C" w14:textId="35700FBF" w:rsidR="00834733" w:rsidRPr="00126EFF" w:rsidRDefault="00486DA1" w:rsidP="00BF0243">
      <w:pPr>
        <w:widowControl/>
        <w:rPr>
          <w:rFonts w:cstheme="minorHAnsi"/>
          <w:color w:val="58595B"/>
          <w:sz w:val="16"/>
          <w:szCs w:val="16"/>
        </w:rPr>
      </w:pPr>
      <w:r w:rsidRPr="00126EFF">
        <w:rPr>
          <w:rFonts w:cstheme="minorHAnsi"/>
          <w:color w:val="58595B"/>
          <w:sz w:val="16"/>
          <w:szCs w:val="16"/>
        </w:rPr>
        <w:t>©20</w:t>
      </w:r>
      <w:r w:rsidR="00834733" w:rsidRPr="00126EFF">
        <w:rPr>
          <w:rFonts w:cstheme="minorHAnsi"/>
          <w:color w:val="58595B"/>
          <w:sz w:val="16"/>
          <w:szCs w:val="16"/>
        </w:rPr>
        <w:t>2</w:t>
      </w:r>
      <w:r w:rsidR="001C3947" w:rsidRPr="00126EFF">
        <w:rPr>
          <w:rFonts w:cstheme="minorHAnsi"/>
          <w:color w:val="58595B"/>
          <w:sz w:val="16"/>
          <w:szCs w:val="16"/>
        </w:rPr>
        <w:t>5</w:t>
      </w:r>
      <w:r w:rsidRPr="00126EFF">
        <w:rPr>
          <w:rFonts w:cstheme="minorHAnsi"/>
          <w:color w:val="58595B"/>
          <w:sz w:val="16"/>
          <w:szCs w:val="16"/>
        </w:rPr>
        <w:t xml:space="preserve"> Wealthcare Capital Management LLC</w:t>
      </w:r>
      <w:r w:rsidR="00970261" w:rsidRPr="00126EFF">
        <w:rPr>
          <w:rFonts w:cstheme="minorHAnsi"/>
          <w:color w:val="58595B"/>
          <w:sz w:val="16"/>
          <w:szCs w:val="16"/>
        </w:rPr>
        <w:t>,</w:t>
      </w:r>
      <w:r w:rsidR="00E249E2" w:rsidRPr="00126EFF">
        <w:rPr>
          <w:rFonts w:cstheme="minorHAnsi"/>
          <w:color w:val="58595B"/>
          <w:sz w:val="16"/>
          <w:szCs w:val="16"/>
        </w:rPr>
        <w:t xml:space="preserve"> Wealthcare Advisory Partners LLC</w:t>
      </w:r>
      <w:r w:rsidR="00970261" w:rsidRPr="00126EFF">
        <w:rPr>
          <w:rFonts w:cstheme="minorHAnsi"/>
          <w:color w:val="58595B"/>
          <w:sz w:val="16"/>
          <w:szCs w:val="16"/>
        </w:rPr>
        <w:t xml:space="preserve">, and Wealthcare </w:t>
      </w:r>
      <w:r w:rsidR="00462D29" w:rsidRPr="00126EFF">
        <w:rPr>
          <w:rFonts w:cstheme="minorHAnsi"/>
          <w:color w:val="58595B"/>
          <w:sz w:val="16"/>
          <w:szCs w:val="16"/>
        </w:rPr>
        <w:t>Capital Partners LLC</w:t>
      </w:r>
      <w:r w:rsidR="00E249E2" w:rsidRPr="00126EFF">
        <w:rPr>
          <w:rFonts w:cstheme="minorHAnsi"/>
          <w:color w:val="58595B"/>
          <w:sz w:val="16"/>
          <w:szCs w:val="16"/>
        </w:rPr>
        <w:t xml:space="preserve"> </w:t>
      </w:r>
      <w:r w:rsidRPr="00126EFF">
        <w:rPr>
          <w:rFonts w:cstheme="minorHAnsi"/>
          <w:color w:val="58595B"/>
          <w:sz w:val="16"/>
          <w:szCs w:val="16"/>
        </w:rPr>
        <w:t>(</w:t>
      </w:r>
      <w:r w:rsidR="00E15CC8" w:rsidRPr="00126EFF">
        <w:rPr>
          <w:rFonts w:cstheme="minorHAnsi"/>
          <w:color w:val="58595B"/>
          <w:sz w:val="16"/>
          <w:szCs w:val="16"/>
        </w:rPr>
        <w:t>"</w:t>
      </w:r>
      <w:r w:rsidRPr="00126EFF">
        <w:rPr>
          <w:rFonts w:cstheme="minorHAnsi"/>
          <w:color w:val="58595B"/>
          <w:sz w:val="16"/>
          <w:szCs w:val="16"/>
        </w:rPr>
        <w:t>Wealthcare</w:t>
      </w:r>
      <w:r w:rsidR="00E15CC8" w:rsidRPr="00126EFF">
        <w:rPr>
          <w:rFonts w:cstheme="minorHAnsi"/>
          <w:color w:val="58595B"/>
          <w:sz w:val="16"/>
          <w:szCs w:val="16"/>
        </w:rPr>
        <w:t>"</w:t>
      </w:r>
      <w:r w:rsidRPr="00126EFF">
        <w:rPr>
          <w:rFonts w:cstheme="minorHAnsi"/>
          <w:color w:val="58595B"/>
          <w:sz w:val="16"/>
          <w:szCs w:val="16"/>
        </w:rPr>
        <w:t>) is a registered investment advisor with the U</w:t>
      </w:r>
      <w:r w:rsidR="00E9719E" w:rsidRPr="00126EFF">
        <w:rPr>
          <w:rFonts w:cstheme="minorHAnsi"/>
          <w:color w:val="58595B"/>
          <w:sz w:val="16"/>
          <w:szCs w:val="16"/>
        </w:rPr>
        <w:t>S</w:t>
      </w:r>
      <w:r w:rsidRPr="00126EFF">
        <w:rPr>
          <w:rFonts w:cstheme="minorHAnsi"/>
          <w:color w:val="58595B"/>
          <w:sz w:val="16"/>
          <w:szCs w:val="16"/>
        </w:rPr>
        <w:t xml:space="preserve"> Securities and Exchange Commission (SEC) under the Investment Advisors Act of 1940.  All Rights Reserved.  </w:t>
      </w:r>
    </w:p>
    <w:p w14:paraId="3545E6AC" w14:textId="77777777" w:rsidR="00FB63C1" w:rsidRPr="00126EFF" w:rsidRDefault="00FB63C1" w:rsidP="00524C3C">
      <w:pPr>
        <w:widowControl/>
        <w:spacing w:line="120" w:lineRule="auto"/>
        <w:rPr>
          <w:rFonts w:cstheme="minorHAnsi"/>
          <w:color w:val="58595B"/>
          <w:sz w:val="16"/>
          <w:szCs w:val="16"/>
        </w:rPr>
      </w:pPr>
    </w:p>
    <w:p w14:paraId="48BBA534" w14:textId="7EFF1581" w:rsidR="00834733" w:rsidRPr="00126EFF" w:rsidRDefault="00486DA1" w:rsidP="00BF0243">
      <w:pPr>
        <w:pStyle w:val="BodyText"/>
        <w:widowControl/>
        <w:ind w:left="0"/>
        <w:rPr>
          <w:rFonts w:asciiTheme="minorHAnsi" w:eastAsiaTheme="minorEastAsia" w:hAnsiTheme="minorHAnsi" w:cstheme="minorHAnsi"/>
          <w:color w:val="58595B"/>
          <w:sz w:val="16"/>
          <w:szCs w:val="16"/>
        </w:rPr>
      </w:pPr>
      <w:r w:rsidRPr="00126EFF">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126EFF"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126EFF" w:rsidRDefault="00486DA1" w:rsidP="00BF0243">
      <w:pPr>
        <w:widowControl/>
        <w:rPr>
          <w:rFonts w:eastAsiaTheme="minorEastAsia" w:cstheme="minorHAnsi"/>
          <w:color w:val="58595B"/>
          <w:sz w:val="16"/>
          <w:szCs w:val="16"/>
        </w:rPr>
      </w:pPr>
      <w:r w:rsidRPr="00126EFF">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26EFF">
        <w:rPr>
          <w:rFonts w:eastAsiaTheme="minorEastAsia" w:cstheme="minorHAnsi"/>
          <w:iCs/>
          <w:color w:val="58595B"/>
          <w:sz w:val="16"/>
          <w:szCs w:val="16"/>
        </w:rPr>
        <w:t xml:space="preserve">or guarantee a client will in all </w:t>
      </w:r>
      <w:r w:rsidRPr="00126EFF">
        <w:rPr>
          <w:rFonts w:eastAsiaTheme="minorEastAsia" w:cstheme="minorHAnsi"/>
          <w:color w:val="58595B"/>
          <w:sz w:val="16"/>
          <w:szCs w:val="16"/>
        </w:rPr>
        <w:t>circumstances of changing personal financial goals and market conditions be able to remain in a client's Wealthcare Plan Comfort Zone®.</w:t>
      </w:r>
      <w:r w:rsidRPr="00126EFF">
        <w:rPr>
          <w:rFonts w:eastAsiaTheme="minorEastAsia" w:cstheme="minorHAnsi"/>
          <w:i/>
          <w:iCs/>
          <w:color w:val="58595B"/>
          <w:sz w:val="16"/>
          <w:szCs w:val="16"/>
        </w:rPr>
        <w:t xml:space="preserve"> </w:t>
      </w:r>
      <w:r w:rsidRPr="00126EFF">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26EFF">
        <w:rPr>
          <w:rFonts w:eastAsiaTheme="minorEastAsia" w:cstheme="minorHAnsi"/>
          <w:color w:val="58595B"/>
          <w:sz w:val="16"/>
          <w:szCs w:val="16"/>
        </w:rPr>
        <w:t>period of time</w:t>
      </w:r>
      <w:proofErr w:type="gramEnd"/>
      <w:r w:rsidRPr="00126EFF">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191F032E">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B452" w14:textId="77777777" w:rsidR="00E15BEF" w:rsidRDefault="00E15BEF">
      <w:r>
        <w:separator/>
      </w:r>
    </w:p>
  </w:endnote>
  <w:endnote w:type="continuationSeparator" w:id="0">
    <w:p w14:paraId="641C80B9" w14:textId="77777777" w:rsidR="00E15BEF" w:rsidRDefault="00E15BEF">
      <w:r>
        <w:continuationSeparator/>
      </w:r>
    </w:p>
  </w:endnote>
  <w:endnote w:type="continuationNotice" w:id="1">
    <w:p w14:paraId="268981FC" w14:textId="77777777" w:rsidR="00E15BEF" w:rsidRDefault="00E1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E333" w14:textId="77777777" w:rsidR="00E15BEF" w:rsidRDefault="00E15BEF">
      <w:r>
        <w:separator/>
      </w:r>
    </w:p>
  </w:footnote>
  <w:footnote w:type="continuationSeparator" w:id="0">
    <w:p w14:paraId="7D872D28" w14:textId="77777777" w:rsidR="00E15BEF" w:rsidRDefault="00E15BEF">
      <w:r>
        <w:continuationSeparator/>
      </w:r>
    </w:p>
  </w:footnote>
  <w:footnote w:type="continuationNotice" w:id="1">
    <w:p w14:paraId="321E6D76" w14:textId="77777777" w:rsidR="00E15BEF" w:rsidRDefault="00E15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356D"/>
    <w:rsid w:val="00025049"/>
    <w:rsid w:val="000251DB"/>
    <w:rsid w:val="00026505"/>
    <w:rsid w:val="00027D08"/>
    <w:rsid w:val="00040C3C"/>
    <w:rsid w:val="000507C5"/>
    <w:rsid w:val="000536AB"/>
    <w:rsid w:val="00053804"/>
    <w:rsid w:val="00055C2B"/>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97D96"/>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E59AF"/>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80765"/>
    <w:rsid w:val="00280C61"/>
    <w:rsid w:val="00286212"/>
    <w:rsid w:val="0029529F"/>
    <w:rsid w:val="002A38CA"/>
    <w:rsid w:val="002A4821"/>
    <w:rsid w:val="002A4D21"/>
    <w:rsid w:val="002B07E7"/>
    <w:rsid w:val="002B27C8"/>
    <w:rsid w:val="002B2F91"/>
    <w:rsid w:val="002B3E10"/>
    <w:rsid w:val="002C01C4"/>
    <w:rsid w:val="002C0E8C"/>
    <w:rsid w:val="002C2526"/>
    <w:rsid w:val="002C3302"/>
    <w:rsid w:val="002C648F"/>
    <w:rsid w:val="002D2361"/>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66F01"/>
    <w:rsid w:val="00373420"/>
    <w:rsid w:val="003737D4"/>
    <w:rsid w:val="003739E6"/>
    <w:rsid w:val="00374837"/>
    <w:rsid w:val="003758DC"/>
    <w:rsid w:val="00377EE1"/>
    <w:rsid w:val="00381561"/>
    <w:rsid w:val="0038183B"/>
    <w:rsid w:val="00384380"/>
    <w:rsid w:val="00387007"/>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52DD"/>
    <w:rsid w:val="003C566E"/>
    <w:rsid w:val="003C6216"/>
    <w:rsid w:val="003C70C1"/>
    <w:rsid w:val="003C7B91"/>
    <w:rsid w:val="003D13A4"/>
    <w:rsid w:val="003D158A"/>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458C"/>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50CF"/>
    <w:rsid w:val="005D5662"/>
    <w:rsid w:val="005D7902"/>
    <w:rsid w:val="005E0EB9"/>
    <w:rsid w:val="005E2E0D"/>
    <w:rsid w:val="005E4B02"/>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B76C3"/>
    <w:rsid w:val="006C1374"/>
    <w:rsid w:val="006D0717"/>
    <w:rsid w:val="006D3705"/>
    <w:rsid w:val="006D6D46"/>
    <w:rsid w:val="006E1C96"/>
    <w:rsid w:val="006E51E1"/>
    <w:rsid w:val="006E5CA8"/>
    <w:rsid w:val="006E779D"/>
    <w:rsid w:val="006F28A9"/>
    <w:rsid w:val="006F3418"/>
    <w:rsid w:val="006F7759"/>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E13"/>
    <w:rsid w:val="007E55DD"/>
    <w:rsid w:val="007F10EF"/>
    <w:rsid w:val="007F4DAC"/>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6CF6"/>
    <w:rsid w:val="0089443D"/>
    <w:rsid w:val="008A0ED6"/>
    <w:rsid w:val="008A12E0"/>
    <w:rsid w:val="008A55C6"/>
    <w:rsid w:val="008A6088"/>
    <w:rsid w:val="008B38FF"/>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DE9"/>
    <w:rsid w:val="008F081A"/>
    <w:rsid w:val="008F12F3"/>
    <w:rsid w:val="008F5D7B"/>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24011"/>
    <w:rsid w:val="009307EE"/>
    <w:rsid w:val="009329CD"/>
    <w:rsid w:val="0094135E"/>
    <w:rsid w:val="00941B78"/>
    <w:rsid w:val="009421C4"/>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754E7"/>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571B"/>
    <w:rsid w:val="00AD5B9F"/>
    <w:rsid w:val="00AD6482"/>
    <w:rsid w:val="00AE050B"/>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300F"/>
    <w:rsid w:val="00BF5C01"/>
    <w:rsid w:val="00C01FC8"/>
    <w:rsid w:val="00C033C8"/>
    <w:rsid w:val="00C03AB7"/>
    <w:rsid w:val="00C03FF2"/>
    <w:rsid w:val="00C04E70"/>
    <w:rsid w:val="00C05BC2"/>
    <w:rsid w:val="00C10313"/>
    <w:rsid w:val="00C1181C"/>
    <w:rsid w:val="00C13591"/>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9E0"/>
    <w:rsid w:val="00CE62F7"/>
    <w:rsid w:val="00CE7DF2"/>
    <w:rsid w:val="00CF00E3"/>
    <w:rsid w:val="00CF093E"/>
    <w:rsid w:val="00CF1602"/>
    <w:rsid w:val="00CF1B81"/>
    <w:rsid w:val="00CF1BAA"/>
    <w:rsid w:val="00CF34E8"/>
    <w:rsid w:val="00D00879"/>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B66E1"/>
    <w:rsid w:val="00DC061F"/>
    <w:rsid w:val="00DC39C5"/>
    <w:rsid w:val="00DC3EF3"/>
    <w:rsid w:val="00DC493E"/>
    <w:rsid w:val="00DC5AC8"/>
    <w:rsid w:val="00DC63C0"/>
    <w:rsid w:val="00DC70D3"/>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7B6F"/>
    <w:rsid w:val="00E22E74"/>
    <w:rsid w:val="00E249E2"/>
    <w:rsid w:val="00E25950"/>
    <w:rsid w:val="00E30DB4"/>
    <w:rsid w:val="00E3118A"/>
    <w:rsid w:val="00E361B6"/>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61F7"/>
    <w:rsid w:val="00E76A5C"/>
    <w:rsid w:val="00E829DC"/>
    <w:rsid w:val="00E82D3C"/>
    <w:rsid w:val="00E83506"/>
    <w:rsid w:val="00E85CF7"/>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F1341"/>
    <w:rsid w:val="00EF3A04"/>
    <w:rsid w:val="00EF421D"/>
    <w:rsid w:val="00EF4FDE"/>
    <w:rsid w:val="00F05EB3"/>
    <w:rsid w:val="00F12C03"/>
    <w:rsid w:val="00F1553D"/>
    <w:rsid w:val="00F201A1"/>
    <w:rsid w:val="00F20C2D"/>
    <w:rsid w:val="00F21AFE"/>
    <w:rsid w:val="00F236B2"/>
    <w:rsid w:val="00F25A3F"/>
    <w:rsid w:val="00F27917"/>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pnews.com/article/economy-gdp-spending-trump-federal-reserve-rates-97346d37c4edaa00f519e45941f7526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altor.com/news/real-estate-news/new-home-sales-census-report-august-2025/"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5/09/17/fed-rate-decision-september-2025.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1605</Words>
  <Characters>8496</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8</cp:revision>
  <cp:lastPrinted>2025-10-01T19:20:00Z</cp:lastPrinted>
  <dcterms:created xsi:type="dcterms:W3CDTF">2025-10-01T19:14:00Z</dcterms:created>
  <dcterms:modified xsi:type="dcterms:W3CDTF">2025-10-01T19:21:00Z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