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3428732"/>
    <w:bookmarkEnd w:id="0"/>
    <w:p w14:paraId="3AAF4777" w14:textId="77CFFE9D" w:rsidR="00CE7DF2" w:rsidRPr="00126EFF" w:rsidRDefault="008C716E" w:rsidP="00BF0243">
      <w:pPr>
        <w:rPr>
          <w:rFonts w:eastAsia="Times New Roman" w:cstheme="minorHAnsi"/>
          <w:color w:val="58595B"/>
          <w:sz w:val="20"/>
          <w:szCs w:val="20"/>
        </w:rPr>
      </w:pPr>
      <w:r w:rsidRPr="00126EFF">
        <w:rPr>
          <w:rFonts w:cstheme="minorHAnsi"/>
          <w:noProof/>
          <w:color w:val="58595B"/>
        </w:rPr>
        <mc:AlternateContent>
          <mc:Choice Requires="wpg">
            <w:drawing>
              <wp:anchor distT="0" distB="0" distL="114300" distR="114300" simplePos="0" relativeHeight="251655168" behindDoc="1" locked="0" layoutInCell="1" allowOverlap="1" wp14:anchorId="498CF9B6" wp14:editId="1FB674A6">
                <wp:simplePos x="0" y="0"/>
                <wp:positionH relativeFrom="page">
                  <wp:posOffset>-66675</wp:posOffset>
                </wp:positionH>
                <wp:positionV relativeFrom="margin">
                  <wp:posOffset>-656590</wp:posOffset>
                </wp:positionV>
                <wp:extent cx="8315325" cy="824230"/>
                <wp:effectExtent l="0" t="0" r="952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5325" cy="824230"/>
                          <a:chOff x="-60" y="-1035"/>
                          <a:chExt cx="13095" cy="1298"/>
                        </a:xfrm>
                      </wpg:grpSpPr>
                      <wpg:grpSp>
                        <wpg:cNvPr id="11" name="Group 16"/>
                        <wpg:cNvGrpSpPr>
                          <a:grpSpLocks/>
                        </wpg:cNvGrpSpPr>
                        <wpg:grpSpPr bwMode="auto">
                          <a:xfrm>
                            <a:off x="-60" y="-1035"/>
                            <a:ext cx="8574" cy="1298"/>
                            <a:chOff x="-60" y="-1035"/>
                            <a:chExt cx="8574" cy="1298"/>
                          </a:xfrm>
                        </wpg:grpSpPr>
                        <wps:wsp>
                          <wps:cNvPr id="12" name="Freeform 17"/>
                          <wps:cNvSpPr>
                            <a:spLocks/>
                          </wps:cNvSpPr>
                          <wps:spPr bwMode="auto">
                            <a:xfrm>
                              <a:off x="-60" y="-1035"/>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03" y="-990"/>
                            <a:ext cx="12232" cy="952"/>
                            <a:chOff x="803" y="-990"/>
                            <a:chExt cx="12232" cy="952"/>
                          </a:xfrm>
                        </wpg:grpSpPr>
                        <wps:wsp>
                          <wps:cNvPr id="14" name="Freeform 15"/>
                          <wps:cNvSpPr>
                            <a:spLocks/>
                          </wps:cNvSpPr>
                          <wps:spPr bwMode="auto">
                            <a:xfrm>
                              <a:off x="803" y="-990"/>
                              <a:ext cx="12232" cy="952"/>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6CB3ED" id="Group 10" o:spid="_x0000_s1026" style="position:absolute;margin-left:-5.25pt;margin-top:-51.7pt;width:654.75pt;height:64.9pt;z-index:-251661312;mso-position-horizontal-relative:page;mso-position-vertical-relative:margin" coordorigin="-60,-1035" coordsize="13095,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">
                <v:group id="Group 16" o:spid="_x0000_s1027" style="position:absolute;left:-60;top:-1035;width:8574;height:1298" coordorigin="-60,-1035"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left:-60;top:-1035;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03;top:-990;width:12232;height:952" coordorigin="803,-990" coordsize="1223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03;top:-990;width:12232;height:952;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52;12232,0" o:connectangles="0,0,0,0"/>
                  </v:shape>
                </v:group>
                <w10:wrap anchorx="page" anchory="margin"/>
              </v:group>
            </w:pict>
          </mc:Fallback>
        </mc:AlternateContent>
      </w:r>
      <w:r w:rsidR="00116740" w:rsidRPr="00126EFF">
        <w:rPr>
          <w:rFonts w:cstheme="minorHAnsi"/>
          <w:noProof/>
          <w:color w:val="58595B"/>
        </w:rPr>
        <mc:AlternateContent>
          <mc:Choice Requires="wps">
            <w:drawing>
              <wp:anchor distT="0" distB="0" distL="114300" distR="114300" simplePos="0" relativeHeight="251657216" behindDoc="0" locked="0" layoutInCell="1" allowOverlap="1" wp14:anchorId="498CF9BA" wp14:editId="0F171DF2">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09A577A9">
                                  <wp:extent cx="1141498" cy="932688"/>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1498" cy="93268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09A577A9">
                            <wp:extent cx="1141498" cy="932688"/>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1498" cy="932688"/>
                                    </a:xfrm>
                                    <a:prstGeom prst="rect">
                                      <a:avLst/>
                                    </a:prstGeom>
                                  </pic:spPr>
                                </pic:pic>
                              </a:graphicData>
                            </a:graphic>
                          </wp:inline>
                        </w:drawing>
                      </w:r>
                    </w:p>
                  </w:txbxContent>
                </v:textbox>
              </v:shape>
            </w:pict>
          </mc:Fallback>
        </mc:AlternateContent>
      </w:r>
      <w:r w:rsidR="002640B5" w:rsidRPr="00126EFF">
        <w:rPr>
          <w:rFonts w:eastAsia="Times New Roman" w:cstheme="minorHAnsi"/>
          <w:noProof/>
          <w:color w:val="58595B"/>
          <w:sz w:val="20"/>
          <w:szCs w:val="20"/>
        </w:rPr>
        <mc:AlternateContent>
          <mc:Choice Requires="wps">
            <w:drawing>
              <wp:anchor distT="0" distB="0" distL="114300" distR="114300" simplePos="0" relativeHeight="251659264" behindDoc="1" locked="0" layoutInCell="1" allowOverlap="1" wp14:anchorId="498CF9B8" wp14:editId="04E486FD">
                <wp:simplePos x="0" y="0"/>
                <wp:positionH relativeFrom="column">
                  <wp:posOffset>4810125</wp:posOffset>
                </wp:positionH>
                <wp:positionV relativeFrom="paragraph">
                  <wp:posOffset>-523240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5pt;margin-top:-41.2pt;width:244.8pt;height:20.6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p>
    <w:p w14:paraId="73DA7D01" w14:textId="77777777" w:rsidR="00CE7DF2" w:rsidRPr="00126EFF" w:rsidRDefault="00CE7DF2" w:rsidP="00BF0243">
      <w:pPr>
        <w:shd w:val="clear" w:color="auto" w:fill="FFFFFF"/>
        <w:rPr>
          <w:rFonts w:eastAsia="Times New Roman" w:cstheme="minorHAnsi"/>
          <w:b/>
          <w:bCs/>
          <w:color w:val="58595B"/>
          <w:sz w:val="32"/>
          <w:szCs w:val="32"/>
        </w:rPr>
      </w:pPr>
    </w:p>
    <w:p w14:paraId="498CF986" w14:textId="42206EFD" w:rsidR="00310271" w:rsidRPr="00053804" w:rsidRDefault="008B4686" w:rsidP="00BF0243">
      <w:pPr>
        <w:ind w:left="720"/>
        <w:rPr>
          <w:rFonts w:eastAsia="Proxima Nova Light" w:cstheme="minorHAnsi"/>
          <w:color w:val="005EA4"/>
          <w:sz w:val="44"/>
          <w:szCs w:val="44"/>
        </w:rPr>
      </w:pPr>
      <w:r>
        <w:rPr>
          <w:rFonts w:eastAsia="Times New Roman" w:cstheme="minorHAnsi"/>
          <w:b/>
          <w:bCs/>
          <w:color w:val="005EA4"/>
          <w:sz w:val="44"/>
          <w:szCs w:val="44"/>
        </w:rPr>
        <w:t>October</w:t>
      </w:r>
      <w:r w:rsidR="00CB424D" w:rsidRPr="00053804">
        <w:rPr>
          <w:rFonts w:eastAsia="Times New Roman" w:cstheme="minorHAnsi"/>
          <w:b/>
          <w:bCs/>
          <w:color w:val="005EA4"/>
          <w:sz w:val="44"/>
          <w:szCs w:val="44"/>
        </w:rPr>
        <w:t xml:space="preserve"> </w:t>
      </w:r>
      <w:r w:rsidR="00C309DD" w:rsidRPr="00053804">
        <w:rPr>
          <w:rFonts w:eastAsia="Times New Roman" w:cstheme="minorHAnsi"/>
          <w:b/>
          <w:bCs/>
          <w:color w:val="005EA4"/>
          <w:sz w:val="44"/>
          <w:szCs w:val="44"/>
        </w:rPr>
        <w:t>202</w:t>
      </w:r>
      <w:r w:rsidR="00805E10" w:rsidRPr="00053804">
        <w:rPr>
          <w:rFonts w:eastAsia="Times New Roman" w:cstheme="minorHAnsi"/>
          <w:b/>
          <w:bCs/>
          <w:color w:val="005EA4"/>
          <w:sz w:val="44"/>
          <w:szCs w:val="44"/>
        </w:rPr>
        <w:t>5</w:t>
      </w:r>
      <w:r w:rsidR="00CE7DF2" w:rsidRPr="00053804">
        <w:rPr>
          <w:rFonts w:eastAsia="Times New Roman" w:cstheme="minorHAnsi"/>
          <w:b/>
          <w:bCs/>
          <w:color w:val="005EA4"/>
          <w:sz w:val="44"/>
          <w:szCs w:val="44"/>
        </w:rPr>
        <w:t xml:space="preserve"> Market </w:t>
      </w:r>
      <w:r w:rsidR="00834733" w:rsidRPr="00053804">
        <w:rPr>
          <w:rFonts w:eastAsia="Times New Roman" w:cstheme="minorHAnsi"/>
          <w:b/>
          <w:bCs/>
          <w:color w:val="005EA4"/>
          <w:sz w:val="44"/>
          <w:szCs w:val="44"/>
        </w:rPr>
        <w:t>Recap</w:t>
      </w:r>
      <w:r w:rsidR="00CE7DF2" w:rsidRPr="00053804">
        <w:rPr>
          <w:rFonts w:eastAsia="Times New Roman" w:cstheme="minorHAnsi"/>
          <w:b/>
          <w:bCs/>
          <w:color w:val="005EA4"/>
          <w:sz w:val="44"/>
          <w:szCs w:val="44"/>
        </w:rPr>
        <w:t xml:space="preserve"> </w:t>
      </w:r>
    </w:p>
    <w:p w14:paraId="498CF98A" w14:textId="77777777" w:rsidR="00FD5531" w:rsidRPr="00126EFF" w:rsidRDefault="001C50E7" w:rsidP="00BF0243">
      <w:pPr>
        <w:pStyle w:val="BodyText"/>
        <w:ind w:left="0" w:right="730"/>
        <w:rPr>
          <w:rFonts w:asciiTheme="minorHAnsi" w:hAnsiTheme="minorHAnsi" w:cstheme="minorHAnsi"/>
          <w:color w:val="58595B"/>
          <w:sz w:val="32"/>
        </w:rPr>
        <w:sectPr w:rsidR="00FD5531" w:rsidRPr="00126EFF" w:rsidSect="00FC7D0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0" w:bottom="0" w:left="0" w:header="720" w:footer="720" w:gutter="0"/>
          <w:cols w:space="720"/>
        </w:sectPr>
      </w:pPr>
      <w:r w:rsidRPr="00126EFF">
        <w:rPr>
          <w:rFonts w:asciiTheme="minorHAnsi" w:eastAsia="Proxima Nova Light" w:hAnsiTheme="minorHAnsi" w:cstheme="minorHAnsi"/>
          <w:noProof/>
          <w:color w:val="58595B"/>
          <w:sz w:val="11"/>
          <w:szCs w:val="11"/>
        </w:rPr>
        <mc:AlternateContent>
          <mc:Choice Requires="wpg">
            <w:drawing>
              <wp:anchor distT="0" distB="0" distL="114300" distR="114300" simplePos="0" relativeHeight="251661312"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113C31" id="Group 17" o:spid="_x0000_s1026" style="position:absolute;margin-left:0;margin-top:16.1pt;width:612pt;height:5.8pt;z-index:251661312"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2AFAE685" w14:textId="77777777" w:rsidR="00163EA8" w:rsidRPr="00126EFF" w:rsidRDefault="00163EA8" w:rsidP="00163EA8">
      <w:pPr>
        <w:rPr>
          <w:rFonts w:cstheme="minorHAnsi"/>
          <w:color w:val="58595B"/>
        </w:rPr>
      </w:pPr>
    </w:p>
    <w:p w14:paraId="3084989C" w14:textId="181FCB4C" w:rsidR="006F45C0" w:rsidRPr="00C8469E" w:rsidRDefault="006F45C0" w:rsidP="006F45C0">
      <w:pPr>
        <w:rPr>
          <w:color w:val="58595B"/>
        </w:rPr>
      </w:pPr>
      <w:r w:rsidRPr="00C8469E">
        <w:rPr>
          <w:color w:val="58595B"/>
        </w:rPr>
        <w:t>The markets reached new highs again in October</w:t>
      </w:r>
      <w:r w:rsidR="008844F6" w:rsidRPr="00C8469E">
        <w:rPr>
          <w:color w:val="58595B"/>
        </w:rPr>
        <w:t>,</w:t>
      </w:r>
      <w:r w:rsidRPr="00C8469E">
        <w:rPr>
          <w:color w:val="58595B"/>
        </w:rPr>
        <w:t xml:space="preserve"> as investors ignored a government shutdown and the tech sector delivered another round of positive results. The Federal Reserve (Fed) lowered rates 0.25%, a move widely anticipated by the markets. And while they appeared to tamp down the possibility of another rate cut in December, the lingering government shutdown could change that view. The suspension of key economic reports due to the shutdown – including jobs, inflation</w:t>
      </w:r>
      <w:r w:rsidR="0006119B" w:rsidRPr="00C8469E">
        <w:rPr>
          <w:color w:val="58595B"/>
        </w:rPr>
        <w:t>,</w:t>
      </w:r>
      <w:r w:rsidRPr="00C8469E">
        <w:rPr>
          <w:color w:val="58595B"/>
        </w:rPr>
        <w:t xml:space="preserve"> and retail sales – could also encourage a more accommodative outlook from the Fed come December.</w:t>
      </w:r>
    </w:p>
    <w:p w14:paraId="1499EBD1" w14:textId="77777777" w:rsidR="0091089B" w:rsidRPr="0091089B" w:rsidRDefault="0091089B" w:rsidP="0091089B">
      <w:pPr>
        <w:pStyle w:val="Heading2"/>
        <w:rPr>
          <w:rFonts w:asciiTheme="minorHAnsi" w:hAnsiTheme="minorHAnsi" w:cstheme="minorHAnsi"/>
          <w:color w:val="005EA4"/>
        </w:rPr>
      </w:pPr>
      <w:r w:rsidRPr="0091089B">
        <w:rPr>
          <w:rFonts w:asciiTheme="minorHAnsi" w:hAnsiTheme="minorHAnsi" w:cstheme="minorHAnsi"/>
          <w:color w:val="005EA4"/>
        </w:rPr>
        <w:t>Markets Hit New Highs as Investors Brush Off Shutdown</w:t>
      </w:r>
    </w:p>
    <w:p w14:paraId="07E3702D" w14:textId="16C6D8EF" w:rsidR="00C13384" w:rsidRPr="00C8469E" w:rsidRDefault="00C13384" w:rsidP="00C13384">
      <w:pPr>
        <w:rPr>
          <w:color w:val="58595B"/>
        </w:rPr>
      </w:pPr>
      <w:r w:rsidRPr="00C8469E">
        <w:rPr>
          <w:color w:val="58595B"/>
        </w:rPr>
        <w:t>Despite a government shutdown, the markets charged ahead in October, printing a brand new set of highs. The tech-heavy NASDAQ Composite Index (COMP) led the markets higher, gaining 4.7% for the month. The popular Dow Jones Industrial Average® (DJIA) and the broad market S&amp;P 500® (SPX) also booked new highs, gaining 2.5% and 2.3%</w:t>
      </w:r>
      <w:r w:rsidR="0006119B" w:rsidRPr="00C8469E">
        <w:rPr>
          <w:color w:val="58595B"/>
        </w:rPr>
        <w:t>,</w:t>
      </w:r>
      <w:r w:rsidRPr="00C8469E">
        <w:rPr>
          <w:color w:val="58595B"/>
        </w:rPr>
        <w:t xml:space="preserve"> respectively. All the major indices have now delivered at least 6 months of consecutive monthly gains.</w:t>
      </w:r>
    </w:p>
    <w:p w14:paraId="3B75147E" w14:textId="77777777" w:rsidR="00C13384" w:rsidRPr="00C8469E" w:rsidRDefault="00C13384" w:rsidP="00C13384">
      <w:pPr>
        <w:rPr>
          <w:color w:val="58595B"/>
        </w:rPr>
      </w:pPr>
    </w:p>
    <w:p w14:paraId="3B532EF0" w14:textId="7C17E33A" w:rsidR="00C13384" w:rsidRPr="00C8469E" w:rsidRDefault="00C13384" w:rsidP="00C13384">
      <w:pPr>
        <w:rPr>
          <w:color w:val="58595B"/>
        </w:rPr>
      </w:pPr>
      <w:r w:rsidRPr="00C8469E">
        <w:rPr>
          <w:color w:val="58595B"/>
        </w:rPr>
        <w:t xml:space="preserve">A significant driver of October's record numbers was a highly anticipated rate cut from the Fed, which now leaves the federal funds rate between 3.75% to 4.00%. But with politicians showing little sign of bringing the shutdown to a close, many think the Fed will cut rates more aggressively than previously anticipated. Another big driver is the continuing positive earnings news from the tech sector, the strong outlook for the AI-driven productivity, and improving US-China trade relations. </w:t>
      </w:r>
    </w:p>
    <w:p w14:paraId="2D9E403D" w14:textId="77777777" w:rsidR="00E76A5C" w:rsidRDefault="00E76A5C" w:rsidP="009A448E">
      <w:pPr>
        <w:rPr>
          <w:rFonts w:cstheme="minorHAnsi"/>
          <w:color w:val="58595B"/>
        </w:rPr>
      </w:pPr>
    </w:p>
    <w:p w14:paraId="284A9595" w14:textId="77777777" w:rsidR="00E76A5C" w:rsidRPr="00124661" w:rsidRDefault="00E76A5C" w:rsidP="009A448E">
      <w:pPr>
        <w:rPr>
          <w:rFonts w:cstheme="minorHAnsi"/>
          <w:color w:val="58595B"/>
        </w:rPr>
      </w:pPr>
    </w:p>
    <w:p w14:paraId="23E1C8B0" w14:textId="27084EEE" w:rsidR="00F40E86" w:rsidRDefault="00BD63FA" w:rsidP="00F40E86">
      <w:pPr>
        <w:jc w:val="center"/>
      </w:pPr>
      <w:r>
        <w:rPr>
          <w:noProof/>
        </w:rPr>
        <w:drawing>
          <wp:inline distT="0" distB="0" distL="0" distR="0" wp14:anchorId="04C8B630" wp14:editId="23020BFB">
            <wp:extent cx="5943600" cy="3088005"/>
            <wp:effectExtent l="19050" t="19050" r="19050" b="17145"/>
            <wp:docPr id="431769760" name="Picture 1" descr="A graph showing the growth of the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69760" name="Picture 1" descr="A graph showing the growth of the stock market&#10;&#10;AI-generated content may be incorrect."/>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Lst>
                    </a:blip>
                    <a:stretch>
                      <a:fillRect/>
                    </a:stretch>
                  </pic:blipFill>
                  <pic:spPr>
                    <a:xfrm>
                      <a:off x="0" y="0"/>
                      <a:ext cx="5943600" cy="3088005"/>
                    </a:xfrm>
                    <a:prstGeom prst="rect">
                      <a:avLst/>
                    </a:prstGeom>
                    <a:ln>
                      <a:solidFill>
                        <a:schemeClr val="accent1"/>
                      </a:solidFill>
                    </a:ln>
                  </pic:spPr>
                </pic:pic>
              </a:graphicData>
            </a:graphic>
          </wp:inline>
        </w:drawing>
      </w:r>
    </w:p>
    <w:p w14:paraId="1F4BA059" w14:textId="77777777" w:rsidR="006B2F77" w:rsidRDefault="006B2F77" w:rsidP="006B2F77">
      <w:pPr>
        <w:jc w:val="center"/>
      </w:pPr>
      <w:r w:rsidRPr="007E6DA0">
        <w:t xml:space="preserve">Source: </w:t>
      </w:r>
      <w:hyperlink r:id="rId20" w:history="1">
        <w:r w:rsidRPr="007E6DA0">
          <w:rPr>
            <w:rStyle w:val="Hyperlink"/>
          </w:rPr>
          <w:t>Wall Street Journal</w:t>
        </w:r>
      </w:hyperlink>
    </w:p>
    <w:p w14:paraId="4ADE6864" w14:textId="77777777" w:rsidR="00E76A5C" w:rsidRDefault="00E76A5C" w:rsidP="009A448E">
      <w:pPr>
        <w:jc w:val="center"/>
        <w:rPr>
          <w:rFonts w:cstheme="minorHAnsi"/>
        </w:rPr>
      </w:pPr>
    </w:p>
    <w:p w14:paraId="22668216" w14:textId="77777777" w:rsidR="006B2F77" w:rsidRDefault="006B2F77" w:rsidP="009A448E">
      <w:pPr>
        <w:jc w:val="center"/>
        <w:rPr>
          <w:rFonts w:cstheme="minorHAnsi"/>
        </w:rPr>
      </w:pPr>
    </w:p>
    <w:p w14:paraId="09EE4C79" w14:textId="77777777" w:rsidR="005E5936" w:rsidRDefault="005E5936" w:rsidP="009A448E">
      <w:pPr>
        <w:jc w:val="center"/>
        <w:rPr>
          <w:rFonts w:cstheme="minorHAnsi"/>
        </w:rPr>
      </w:pPr>
    </w:p>
    <w:p w14:paraId="77413FB3" w14:textId="77777777" w:rsidR="005E5936" w:rsidRPr="00FB0056" w:rsidRDefault="005E5936" w:rsidP="009A448E">
      <w:pPr>
        <w:jc w:val="center"/>
        <w:rPr>
          <w:rFonts w:cstheme="minorHAnsi"/>
        </w:rPr>
      </w:pPr>
    </w:p>
    <w:p w14:paraId="30C45EC8" w14:textId="77777777" w:rsidR="00700EEA" w:rsidRPr="0079782C" w:rsidRDefault="00700EEA" w:rsidP="00700EEA">
      <w:pPr>
        <w:pStyle w:val="Heading2"/>
        <w:rPr>
          <w:rFonts w:asciiTheme="minorHAnsi" w:hAnsiTheme="minorHAnsi" w:cstheme="minorHAnsi"/>
          <w:color w:val="005EA4"/>
        </w:rPr>
      </w:pPr>
      <w:r w:rsidRPr="0079782C">
        <w:rPr>
          <w:rFonts w:asciiTheme="minorHAnsi" w:hAnsiTheme="minorHAnsi" w:cstheme="minorHAnsi"/>
          <w:color w:val="005EA4"/>
        </w:rPr>
        <w:lastRenderedPageBreak/>
        <w:t>Fed Delivers Second Rate Cut of 2025, Debates Next Move</w:t>
      </w:r>
    </w:p>
    <w:p w14:paraId="02C0F426" w14:textId="651E6538" w:rsidR="0079782C" w:rsidRPr="00C8469E" w:rsidRDefault="0079782C" w:rsidP="0079782C">
      <w:pPr>
        <w:rPr>
          <w:color w:val="58595B"/>
        </w:rPr>
      </w:pPr>
      <w:r w:rsidRPr="00C8469E">
        <w:rPr>
          <w:color w:val="58595B"/>
        </w:rPr>
        <w:t xml:space="preserve">In a highly anticipated move, the </w:t>
      </w:r>
      <w:r w:rsidR="00A6691B" w:rsidRPr="00C8469E">
        <w:rPr>
          <w:color w:val="58595B"/>
        </w:rPr>
        <w:t>Fed</w:t>
      </w:r>
      <w:r w:rsidRPr="00C8469E">
        <w:rPr>
          <w:color w:val="58595B"/>
        </w:rPr>
        <w:t xml:space="preserve"> lowered the federal funds rate by 0.25% to the 3.75% to 4.00% range. The Fed has now cut rates twice this year after cutting three times in 2024. The federal funds rate is the overnight rate charged between banks and affects a wide swath of lending in the US, from credit cards to car loans to mortgages.</w:t>
      </w:r>
    </w:p>
    <w:p w14:paraId="1293895F" w14:textId="77777777" w:rsidR="0079782C" w:rsidRPr="00C8469E" w:rsidRDefault="0079782C" w:rsidP="0079782C">
      <w:pPr>
        <w:rPr>
          <w:color w:val="58595B"/>
        </w:rPr>
      </w:pPr>
    </w:p>
    <w:p w14:paraId="3F6310A0" w14:textId="1491DBDE" w:rsidR="0079782C" w:rsidRPr="00C8469E" w:rsidRDefault="0079782C" w:rsidP="0079782C">
      <w:pPr>
        <w:rPr>
          <w:color w:val="58595B"/>
        </w:rPr>
      </w:pPr>
      <w:r w:rsidRPr="00C8469E">
        <w:rPr>
          <w:color w:val="58595B"/>
        </w:rPr>
        <w:t xml:space="preserve">The decision to lower rates was made by a 10-2 </w:t>
      </w:r>
      <w:r w:rsidR="002858FB" w:rsidRPr="00C8469E">
        <w:rPr>
          <w:color w:val="58595B"/>
        </w:rPr>
        <w:t>vote</w:t>
      </w:r>
      <w:r w:rsidRPr="00C8469E">
        <w:rPr>
          <w:color w:val="58595B"/>
        </w:rPr>
        <w:t xml:space="preserve">. Governor Stephen Miran again cast a dissenting vote, preferring the central bank move more aggressively by cutting rates by </w:t>
      </w:r>
      <w:r w:rsidR="00C21098" w:rsidRPr="00C8469E">
        <w:rPr>
          <w:color w:val="58595B"/>
        </w:rPr>
        <w:t>one</w:t>
      </w:r>
      <w:r w:rsidRPr="00C8469E">
        <w:rPr>
          <w:color w:val="58595B"/>
        </w:rPr>
        <w:t>-half point. Kansas City Fed President Jeffrey Schmid also dissented, but for the opposite reason, preferring the Fed not cut rates at all. Miran -- an appointee of President Trump -- has advocated for a more aggressive rate-cutting Fed.</w:t>
      </w:r>
    </w:p>
    <w:p w14:paraId="2BAAC882" w14:textId="77777777" w:rsidR="0079782C" w:rsidRPr="00C8469E" w:rsidRDefault="0079782C" w:rsidP="0079782C">
      <w:pPr>
        <w:rPr>
          <w:color w:val="58595B"/>
        </w:rPr>
      </w:pPr>
    </w:p>
    <w:p w14:paraId="56819428" w14:textId="4109AFD1" w:rsidR="0079782C" w:rsidRPr="00C8469E" w:rsidRDefault="0079782C" w:rsidP="0079782C">
      <w:pPr>
        <w:rPr>
          <w:color w:val="58595B"/>
        </w:rPr>
      </w:pPr>
      <w:r w:rsidRPr="00C8469E">
        <w:rPr>
          <w:color w:val="58595B"/>
        </w:rPr>
        <w:t>In a post-meeting news conference, Fed chairman Jerome Powell appeared to want to temper expectations of further rate cuts. "In the committee’s discussions at this meeting, there were strongly differing views about how to proceed in December," Powell said. "A further reduction in the policy rate at the December meeting is not a foregone conclusion. Far from it." However, many now believe that the Fed may soften that stance as the government shutdown approaches record length.</w:t>
      </w:r>
    </w:p>
    <w:p w14:paraId="55B8CE8D" w14:textId="77777777" w:rsidR="0079782C" w:rsidRPr="00C8469E" w:rsidRDefault="0079782C" w:rsidP="0079782C">
      <w:pPr>
        <w:rPr>
          <w:color w:val="58595B"/>
        </w:rPr>
      </w:pPr>
    </w:p>
    <w:p w14:paraId="441D9EB1" w14:textId="2DD8CFCA" w:rsidR="0079782C" w:rsidRDefault="0079782C" w:rsidP="0079782C">
      <w:r w:rsidRPr="00C8469E">
        <w:rPr>
          <w:color w:val="58595B"/>
        </w:rPr>
        <w:t>The Fed also said that it would refrain from reinvesting proceeds from its maturing bonds, a process known as quantitative tightening (QT). QT tends to restrict the money supply, which can have a similar effect to raising interest rates</w:t>
      </w:r>
      <w:r>
        <w:t xml:space="preserve">. </w:t>
      </w:r>
      <w:hyperlink r:id="rId21" w:history="1">
        <w:r w:rsidRPr="00097324">
          <w:rPr>
            <w:rStyle w:val="Hyperlink"/>
          </w:rPr>
          <w:t>CNBC</w:t>
        </w:r>
      </w:hyperlink>
    </w:p>
    <w:p w14:paraId="2CDC8842" w14:textId="77777777" w:rsidR="008C31AD" w:rsidRPr="008C31AD" w:rsidRDefault="008C31AD" w:rsidP="009A448E">
      <w:pPr>
        <w:rPr>
          <w:rFonts w:cstheme="minorHAnsi"/>
          <w:color w:val="58595B"/>
        </w:rPr>
      </w:pPr>
    </w:p>
    <w:p w14:paraId="73D2825B" w14:textId="77777777" w:rsidR="00D30449" w:rsidRPr="00D30449" w:rsidRDefault="00D30449" w:rsidP="00D30449">
      <w:pPr>
        <w:pStyle w:val="Heading2"/>
        <w:rPr>
          <w:rFonts w:ascii="Calibri" w:hAnsi="Calibri" w:cs="Calibri"/>
          <w:color w:val="005EA4"/>
        </w:rPr>
      </w:pPr>
      <w:r w:rsidRPr="00D30449">
        <w:rPr>
          <w:rFonts w:ascii="Calibri" w:hAnsi="Calibri" w:cs="Calibri"/>
          <w:color w:val="005EA4"/>
        </w:rPr>
        <w:t>Existing-Home Sales Rise to Seven-Month High on Lower Rates</w:t>
      </w:r>
    </w:p>
    <w:p w14:paraId="7DA7F166" w14:textId="6811A3E1" w:rsidR="00DB4F20" w:rsidRPr="00C8469E" w:rsidRDefault="00DB4F20" w:rsidP="00DB4F20">
      <w:pPr>
        <w:rPr>
          <w:color w:val="58595B"/>
        </w:rPr>
      </w:pPr>
      <w:r w:rsidRPr="00C8469E">
        <w:rPr>
          <w:color w:val="58595B"/>
        </w:rPr>
        <w:t>Sales of existing US homes surged to a seven-month high in September, according to the National Association of Realtors (NAR). Sales during the month were up 1.5% compared to August, landing at a seasonally adjusted rate of 4.06 million units per year. The results were in line with economists' expectations. Resales increased in the Northeast, South</w:t>
      </w:r>
      <w:r w:rsidR="00021A3A" w:rsidRPr="00C8469E">
        <w:rPr>
          <w:color w:val="58595B"/>
        </w:rPr>
        <w:t>,</w:t>
      </w:r>
      <w:r w:rsidRPr="00C8469E">
        <w:rPr>
          <w:color w:val="58595B"/>
        </w:rPr>
        <w:t xml:space="preserve"> and West regions but declined in the Midwest. Compared to a year ago, existing home sales were up 4.1%</w:t>
      </w:r>
    </w:p>
    <w:p w14:paraId="0C2AD1F4" w14:textId="77777777" w:rsidR="00DB4F20" w:rsidRPr="00C8469E" w:rsidRDefault="00DB4F20" w:rsidP="00DB4F20">
      <w:pPr>
        <w:rPr>
          <w:color w:val="58595B"/>
        </w:rPr>
      </w:pPr>
    </w:p>
    <w:p w14:paraId="2EE4E458" w14:textId="34647009" w:rsidR="00DB4F20" w:rsidRPr="00C8469E" w:rsidRDefault="00DB4F20" w:rsidP="00DB4F20">
      <w:pPr>
        <w:rPr>
          <w:color w:val="58595B"/>
        </w:rPr>
      </w:pPr>
      <w:r w:rsidRPr="00C8469E">
        <w:rPr>
          <w:color w:val="58595B"/>
        </w:rPr>
        <w:t>The average price for a home rose 2.1% compared to a year ago to $415,200 in September. That marks the 27th consecutive month that home prices have gone up on an annual basis while recording the highest average price for a home in September since 1999.</w:t>
      </w:r>
    </w:p>
    <w:p w14:paraId="6613D0E5" w14:textId="77777777" w:rsidR="00DB4F20" w:rsidRPr="00C8469E" w:rsidRDefault="00DB4F20" w:rsidP="00DB4F20">
      <w:pPr>
        <w:rPr>
          <w:color w:val="58595B"/>
        </w:rPr>
      </w:pPr>
    </w:p>
    <w:p w14:paraId="1E18DB6A" w14:textId="61C53875" w:rsidR="00DB4F20" w:rsidRPr="00C8469E" w:rsidRDefault="00DB4F20" w:rsidP="00DB4F20">
      <w:pPr>
        <w:rPr>
          <w:color w:val="58595B"/>
        </w:rPr>
      </w:pPr>
      <w:r w:rsidRPr="00C8469E">
        <w:rPr>
          <w:color w:val="58595B"/>
        </w:rPr>
        <w:t>According to Lawrence Yun, NAR's chief economist, "The home sales in September showed an increase, but I would not characterize (it) as a breakout." But he added, "It does show that consumers do respond to lower mortgage rates."</w:t>
      </w:r>
    </w:p>
    <w:p w14:paraId="3AA62403" w14:textId="77777777" w:rsidR="00DB4F20" w:rsidRDefault="00DB4F20" w:rsidP="00DB4F20">
      <w:r w:rsidRPr="00C8469E">
        <w:rPr>
          <w:color w:val="58595B"/>
        </w:rPr>
        <w:t xml:space="preserve">At the end of the month, there were 1.5 million unsold homes on the market, up 1.3% compared to August and up 14% compared to September of last year. That translates to about 4.6 months of supply at the current sales price. Typically, a </w:t>
      </w:r>
      <w:proofErr w:type="gramStart"/>
      <w:r w:rsidRPr="00C8469E">
        <w:rPr>
          <w:color w:val="58595B"/>
        </w:rPr>
        <w:t>five to six month</w:t>
      </w:r>
      <w:proofErr w:type="gramEnd"/>
      <w:r w:rsidRPr="00C8469E">
        <w:rPr>
          <w:color w:val="58595B"/>
        </w:rPr>
        <w:t xml:space="preserve"> supply indicates a balanced market between buyers and sellers. </w:t>
      </w:r>
      <w:hyperlink r:id="rId22" w:history="1">
        <w:r w:rsidRPr="00097324">
          <w:rPr>
            <w:rStyle w:val="Hyperlink"/>
          </w:rPr>
          <w:t>AP News</w:t>
        </w:r>
      </w:hyperlink>
    </w:p>
    <w:p w14:paraId="76894B9E" w14:textId="77777777" w:rsidR="00EF26B3" w:rsidRPr="00EF26B3" w:rsidRDefault="00EF26B3" w:rsidP="00EF26B3">
      <w:pPr>
        <w:pStyle w:val="Heading2"/>
        <w:rPr>
          <w:rFonts w:asciiTheme="minorHAnsi" w:hAnsiTheme="minorHAnsi" w:cstheme="minorHAnsi"/>
          <w:color w:val="005EA4"/>
        </w:rPr>
      </w:pPr>
      <w:r w:rsidRPr="00EF26B3">
        <w:rPr>
          <w:rFonts w:asciiTheme="minorHAnsi" w:hAnsiTheme="minorHAnsi" w:cstheme="minorHAnsi"/>
          <w:color w:val="005EA4"/>
        </w:rPr>
        <w:t>Mortgage Rates Fall for Fourth Week, Now Near Year Lows</w:t>
      </w:r>
    </w:p>
    <w:p w14:paraId="59271D15" w14:textId="77777777" w:rsidR="001730A2" w:rsidRPr="00C8469E" w:rsidRDefault="001730A2" w:rsidP="001730A2">
      <w:pPr>
        <w:rPr>
          <w:color w:val="58595B"/>
        </w:rPr>
      </w:pPr>
      <w:r w:rsidRPr="00C8469E">
        <w:rPr>
          <w:color w:val="58595B"/>
        </w:rPr>
        <w:t>For the fourth week in a row, the average rate on a 30-year fixed-rate US mortgage fell, according to mortgage buyer Freddie Mac. The average rate now stands at 6.17%, down slightly from 6.19% the week before. The last time mortgage rates were this low was over a year ago when they hit 6.12%.</w:t>
      </w:r>
    </w:p>
    <w:p w14:paraId="3087C387" w14:textId="77777777" w:rsidR="001730A2" w:rsidRPr="00C8469E" w:rsidRDefault="001730A2" w:rsidP="001730A2">
      <w:pPr>
        <w:rPr>
          <w:color w:val="58595B"/>
        </w:rPr>
      </w:pPr>
    </w:p>
    <w:p w14:paraId="4C939BA6" w14:textId="77777777" w:rsidR="001730A2" w:rsidRPr="00C8469E" w:rsidRDefault="001730A2" w:rsidP="001730A2">
      <w:pPr>
        <w:rPr>
          <w:color w:val="58595B"/>
        </w:rPr>
      </w:pPr>
      <w:r w:rsidRPr="00C8469E">
        <w:rPr>
          <w:color w:val="58595B"/>
        </w:rPr>
        <w:t>The rate on a fixed-rate 15-year mortgage also eased to 5.41% last week from 5.44% the week earlier. The rate is also considerably below the 5.99% that a 15-year cost a year ago. The 15-year mortgage is popular among homeowners refinancing their homes.</w:t>
      </w:r>
    </w:p>
    <w:p w14:paraId="2D30C306" w14:textId="77777777" w:rsidR="001730A2" w:rsidRPr="00C8469E" w:rsidRDefault="001730A2" w:rsidP="001730A2">
      <w:pPr>
        <w:rPr>
          <w:color w:val="58595B"/>
        </w:rPr>
      </w:pPr>
    </w:p>
    <w:p w14:paraId="55C71428" w14:textId="77777777" w:rsidR="001730A2" w:rsidRDefault="001730A2" w:rsidP="001730A2">
      <w:r w:rsidRPr="00C8469E">
        <w:rPr>
          <w:color w:val="58595B"/>
        </w:rPr>
        <w:t xml:space="preserve">Lenders tend to use the yield on the 10-year Treasury note as a guide to setting rates. In addition, what's happening to the economy and inflation can also influence mortgage rates. When inflation moves up – or is anticipated to move up – rates on the 10-year Treasury can move up as well, bring higher mortgage rates with them. The Fed's interest rate policy can influence mortgage rates, although that is not always the case. </w:t>
      </w:r>
      <w:hyperlink r:id="rId23" w:history="1">
        <w:r w:rsidRPr="00F65225">
          <w:rPr>
            <w:rStyle w:val="Hyperlink"/>
          </w:rPr>
          <w:t>AP News</w:t>
        </w:r>
      </w:hyperlink>
    </w:p>
    <w:p w14:paraId="642DE185" w14:textId="77777777" w:rsidR="00E729B6" w:rsidRPr="00126EFF" w:rsidRDefault="00E729B6" w:rsidP="00E729B6">
      <w:pPr>
        <w:rPr>
          <w:rFonts w:eastAsia="Avenir" w:cstheme="minorHAnsi"/>
          <w:color w:val="58595B"/>
        </w:rPr>
      </w:pPr>
    </w:p>
    <w:p w14:paraId="6559A5B9" w14:textId="559EF8D0" w:rsidR="00BA3AC9" w:rsidRPr="00C8469E" w:rsidRDefault="00BA3AC9" w:rsidP="006F28A9">
      <w:pPr>
        <w:ind w:right="360"/>
        <w:rPr>
          <w:rFonts w:eastAsia="Avenir" w:cstheme="minorHAnsi"/>
          <w:color w:val="58595B"/>
          <w:sz w:val="16"/>
          <w:szCs w:val="16"/>
        </w:rPr>
      </w:pPr>
      <w:r w:rsidRPr="00C8469E">
        <w:rPr>
          <w:rFonts w:eastAsia="Avenir" w:cstheme="minorHAnsi"/>
          <w:color w:val="58595B"/>
          <w:sz w:val="16"/>
          <w:szCs w:val="16"/>
        </w:rPr>
        <w:t xml:space="preserve">This research material was prepared by </w:t>
      </w:r>
      <w:r w:rsidR="00C64F63" w:rsidRPr="00C8469E">
        <w:rPr>
          <w:rFonts w:eastAsia="Avenir" w:cstheme="minorHAnsi"/>
          <w:color w:val="58595B"/>
          <w:sz w:val="16"/>
          <w:szCs w:val="16"/>
        </w:rPr>
        <w:t>Burritt Research, Inc</w:t>
      </w:r>
      <w:r w:rsidRPr="00C8469E">
        <w:rPr>
          <w:rFonts w:eastAsia="Avenir" w:cstheme="minorHAnsi"/>
          <w:color w:val="58595B"/>
          <w:sz w:val="16"/>
          <w:szCs w:val="16"/>
        </w:rPr>
        <w:t>.</w:t>
      </w:r>
    </w:p>
    <w:p w14:paraId="6645C804" w14:textId="77777777" w:rsidR="00FE629C" w:rsidRPr="00C8469E" w:rsidRDefault="00FE629C" w:rsidP="006F28A9">
      <w:pPr>
        <w:ind w:right="360"/>
        <w:rPr>
          <w:rFonts w:eastAsia="Avenir" w:cstheme="minorHAnsi"/>
          <w:color w:val="58595B"/>
          <w:sz w:val="16"/>
          <w:szCs w:val="16"/>
        </w:rPr>
      </w:pPr>
    </w:p>
    <w:p w14:paraId="099737C6" w14:textId="77777777" w:rsidR="00B106D8" w:rsidRPr="00C8469E" w:rsidRDefault="00B106D8" w:rsidP="00B106D8">
      <w:pPr>
        <w:ind w:right="360"/>
        <w:rPr>
          <w:rFonts w:eastAsia="Avenir" w:cstheme="minorHAnsi"/>
          <w:b/>
          <w:color w:val="58595B"/>
          <w:sz w:val="16"/>
          <w:szCs w:val="16"/>
        </w:rPr>
      </w:pPr>
      <w:r w:rsidRPr="00C8469E">
        <w:rPr>
          <w:rFonts w:eastAsia="Avenir" w:cstheme="minorHAnsi"/>
          <w:color w:val="58595B"/>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w:t>
      </w:r>
      <w:proofErr w:type="gramStart"/>
      <w:r w:rsidRPr="00C8469E">
        <w:rPr>
          <w:rFonts w:eastAsia="Avenir" w:cstheme="minorHAnsi"/>
          <w:color w:val="58595B"/>
          <w:sz w:val="16"/>
          <w:szCs w:val="16"/>
        </w:rPr>
        <w:t>meeting</w:t>
      </w:r>
      <w:proofErr w:type="gramEnd"/>
      <w:r w:rsidRPr="00C8469E">
        <w:rPr>
          <w:rFonts w:eastAsia="Avenir" w:cstheme="minorHAnsi"/>
          <w:color w:val="58595B"/>
          <w:sz w:val="16"/>
          <w:szCs w:val="16"/>
        </w:rPr>
        <w:t xml:space="preserve"> the particular investment needs of any investor. </w:t>
      </w:r>
      <w:r w:rsidRPr="00C8469E">
        <w:rPr>
          <w:rFonts w:eastAsia="Avenir" w:cstheme="minorHAnsi"/>
          <w:b/>
          <w:color w:val="58595B"/>
          <w:sz w:val="16"/>
          <w:szCs w:val="16"/>
        </w:rPr>
        <w:t>Past performance does not guarantee future results.</w:t>
      </w:r>
    </w:p>
    <w:p w14:paraId="094364AD" w14:textId="77777777" w:rsidR="00B106D8" w:rsidRPr="00C8469E" w:rsidRDefault="00B106D8" w:rsidP="00B106D8">
      <w:pPr>
        <w:ind w:right="360"/>
        <w:rPr>
          <w:rFonts w:eastAsia="Avenir" w:cstheme="minorHAnsi"/>
          <w:b/>
          <w:color w:val="58595B"/>
          <w:sz w:val="16"/>
          <w:szCs w:val="16"/>
        </w:rPr>
      </w:pPr>
    </w:p>
    <w:p w14:paraId="7979E7BB" w14:textId="77777777" w:rsidR="00B106D8" w:rsidRPr="00C8469E" w:rsidRDefault="00B106D8" w:rsidP="00B106D8">
      <w:pPr>
        <w:ind w:right="360"/>
        <w:rPr>
          <w:rFonts w:eastAsia="Avenir" w:cstheme="minorHAnsi"/>
          <w:color w:val="58595B"/>
          <w:sz w:val="16"/>
          <w:szCs w:val="16"/>
        </w:rPr>
      </w:pPr>
      <w:r w:rsidRPr="00C8469E">
        <w:rPr>
          <w:rFonts w:eastAsia="Avenir" w:cstheme="minorHAnsi"/>
          <w:color w:val="58595B"/>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54BBFB8D" w14:textId="5BAC2C7D" w:rsidR="00B106D8" w:rsidRPr="00C8469E" w:rsidRDefault="00B106D8" w:rsidP="00B106D8">
      <w:pPr>
        <w:ind w:right="360"/>
        <w:rPr>
          <w:rFonts w:eastAsia="Avenir" w:cstheme="minorHAnsi"/>
          <w:color w:val="58595B"/>
          <w:sz w:val="16"/>
          <w:szCs w:val="16"/>
        </w:rPr>
      </w:pPr>
    </w:p>
    <w:p w14:paraId="4AAE2B8F" w14:textId="2DB04373" w:rsidR="00B106D8" w:rsidRPr="00C8469E" w:rsidRDefault="00B106D8" w:rsidP="00B106D8">
      <w:pPr>
        <w:ind w:right="360"/>
        <w:rPr>
          <w:rFonts w:eastAsia="Avenir" w:cstheme="minorHAnsi"/>
          <w:color w:val="58595B"/>
          <w:sz w:val="16"/>
          <w:szCs w:val="16"/>
        </w:rPr>
      </w:pPr>
      <w:r w:rsidRPr="00C8469E">
        <w:rPr>
          <w:rFonts w:eastAsia="Avenir" w:cstheme="minorHAnsi"/>
          <w:color w:val="58595B"/>
          <w:sz w:val="16"/>
          <w:szCs w:val="16"/>
        </w:rPr>
        <w:t xml:space="preserve">The Standard &amp; Poor's 500 (S&amp;P 500) is an unmanaged group of securities considered to be representative of the stock market in general. It is a market </w:t>
      </w:r>
      <w:proofErr w:type="gramStart"/>
      <w:r w:rsidRPr="00C8469E">
        <w:rPr>
          <w:rFonts w:eastAsia="Avenir" w:cstheme="minorHAnsi"/>
          <w:color w:val="58595B"/>
          <w:sz w:val="16"/>
          <w:szCs w:val="16"/>
        </w:rPr>
        <w:t>value weighted</w:t>
      </w:r>
      <w:proofErr w:type="gramEnd"/>
      <w:r w:rsidRPr="00C8469E">
        <w:rPr>
          <w:rFonts w:eastAsia="Avenir" w:cstheme="minorHAnsi"/>
          <w:color w:val="58595B"/>
          <w:sz w:val="16"/>
          <w:szCs w:val="16"/>
        </w:rPr>
        <w:t xml:space="preserve"> index with each stock's weight in the index proportionate to its market value.</w:t>
      </w:r>
    </w:p>
    <w:p w14:paraId="16C9F6E7" w14:textId="77777777" w:rsidR="00B106D8" w:rsidRPr="00C8469E" w:rsidRDefault="00B106D8" w:rsidP="00B106D8">
      <w:pPr>
        <w:ind w:right="360"/>
        <w:rPr>
          <w:rFonts w:eastAsia="Avenir" w:cstheme="minorHAnsi"/>
          <w:color w:val="58595B"/>
          <w:sz w:val="16"/>
          <w:szCs w:val="16"/>
        </w:rPr>
      </w:pPr>
    </w:p>
    <w:p w14:paraId="5D11A940" w14:textId="77777777" w:rsidR="00B106D8" w:rsidRPr="00C8469E" w:rsidRDefault="00B106D8" w:rsidP="00B106D8">
      <w:pPr>
        <w:ind w:right="360"/>
        <w:rPr>
          <w:rFonts w:eastAsia="Avenir" w:cstheme="minorHAnsi"/>
          <w:color w:val="58595B"/>
          <w:sz w:val="16"/>
          <w:szCs w:val="16"/>
        </w:rPr>
      </w:pPr>
      <w:r w:rsidRPr="00C8469E">
        <w:rPr>
          <w:rFonts w:eastAsia="Avenir" w:cstheme="minorHAnsi"/>
          <w:color w:val="58595B"/>
          <w:sz w:val="16"/>
          <w:szCs w:val="16"/>
        </w:rPr>
        <w:t>The Nasdaq Composite Index is a market-capitalization weighted index of the more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0996D1F9" w14:textId="77777777" w:rsidR="00B106D8" w:rsidRPr="00C8469E" w:rsidRDefault="00B106D8" w:rsidP="00B106D8">
      <w:pPr>
        <w:ind w:right="360"/>
        <w:rPr>
          <w:rFonts w:eastAsia="Avenir" w:cstheme="minorHAnsi"/>
          <w:color w:val="58595B"/>
          <w:sz w:val="16"/>
          <w:szCs w:val="16"/>
        </w:rPr>
      </w:pPr>
    </w:p>
    <w:p w14:paraId="7A01E923" w14:textId="03889211" w:rsidR="00B106D8" w:rsidRPr="00C8469E" w:rsidRDefault="00B106D8" w:rsidP="00B106D8">
      <w:pPr>
        <w:ind w:right="360"/>
        <w:rPr>
          <w:rFonts w:eastAsia="Avenir" w:cstheme="minorHAnsi"/>
          <w:color w:val="58595B"/>
          <w:sz w:val="16"/>
          <w:szCs w:val="16"/>
        </w:rPr>
      </w:pPr>
      <w:r w:rsidRPr="00C8469E">
        <w:rPr>
          <w:rFonts w:eastAsia="Avenir" w:cstheme="minorHAnsi"/>
          <w:color w:val="58595B"/>
          <w:sz w:val="16"/>
          <w:szCs w:val="16"/>
        </w:rPr>
        <w:t xml:space="preserve">The Dow Jones Industrial Average (DJIA) is a price-weighted average of 30 actively traded </w:t>
      </w:r>
      <w:r w:rsidR="00E9719E" w:rsidRPr="00C8469E">
        <w:rPr>
          <w:rFonts w:eastAsia="Avenir" w:cstheme="minorHAnsi"/>
          <w:color w:val="58595B"/>
          <w:sz w:val="16"/>
          <w:szCs w:val="16"/>
        </w:rPr>
        <w:t>"</w:t>
      </w:r>
      <w:r w:rsidRPr="00C8469E">
        <w:rPr>
          <w:rFonts w:eastAsia="Avenir" w:cstheme="minorHAnsi"/>
          <w:color w:val="58595B"/>
          <w:sz w:val="16"/>
          <w:szCs w:val="16"/>
        </w:rPr>
        <w:t>blue chip</w:t>
      </w:r>
      <w:r w:rsidR="00E9719E" w:rsidRPr="00C8469E">
        <w:rPr>
          <w:rFonts w:eastAsia="Avenir" w:cstheme="minorHAnsi"/>
          <w:color w:val="58595B"/>
          <w:sz w:val="16"/>
          <w:szCs w:val="16"/>
        </w:rPr>
        <w:t>"</w:t>
      </w:r>
      <w:r w:rsidRPr="00C8469E">
        <w:rPr>
          <w:rFonts w:eastAsia="Avenir" w:cstheme="minorHAnsi"/>
          <w:color w:val="58595B"/>
          <w:sz w:val="16"/>
          <w:szCs w:val="16"/>
        </w:rPr>
        <w:t xml:space="preserve"> stocks, primarily industrials, but includes </w:t>
      </w:r>
      <w:proofErr w:type="gramStart"/>
      <w:r w:rsidRPr="00C8469E">
        <w:rPr>
          <w:rFonts w:eastAsia="Avenir" w:cstheme="minorHAnsi"/>
          <w:color w:val="58595B"/>
          <w:sz w:val="16"/>
          <w:szCs w:val="16"/>
        </w:rPr>
        <w:t>financials</w:t>
      </w:r>
      <w:proofErr w:type="gramEnd"/>
      <w:r w:rsidRPr="00C8469E">
        <w:rPr>
          <w:rFonts w:eastAsia="Avenir" w:cstheme="minorHAnsi"/>
          <w:color w:val="58595B"/>
          <w:sz w:val="16"/>
          <w:szCs w:val="16"/>
        </w:rPr>
        <w:t xml:space="preserve"> and other service-oriented companies. The components, which change from time to time, represent between 15% and 20% of the market value of NYSE stocks.</w:t>
      </w:r>
    </w:p>
    <w:p w14:paraId="3659DFF2" w14:textId="77777777" w:rsidR="00B106D8" w:rsidRPr="00C8469E" w:rsidRDefault="00B106D8" w:rsidP="00B106D8">
      <w:pPr>
        <w:ind w:right="360"/>
        <w:rPr>
          <w:rFonts w:eastAsia="Avenir" w:cstheme="minorHAnsi"/>
          <w:color w:val="58595B"/>
          <w:sz w:val="16"/>
          <w:szCs w:val="16"/>
        </w:rPr>
      </w:pPr>
    </w:p>
    <w:p w14:paraId="30F1270C" w14:textId="3C13E34A" w:rsidR="00B106D8" w:rsidRPr="00C8469E" w:rsidRDefault="00B106D8" w:rsidP="00B106D8">
      <w:pPr>
        <w:ind w:right="360"/>
        <w:rPr>
          <w:rFonts w:eastAsia="Avenir" w:cstheme="minorHAnsi"/>
          <w:color w:val="58595B"/>
          <w:sz w:val="16"/>
          <w:szCs w:val="16"/>
        </w:rPr>
      </w:pPr>
      <w:r w:rsidRPr="00C8469E">
        <w:rPr>
          <w:rFonts w:eastAsia="Avenir" w:cstheme="minorHAnsi"/>
          <w:color w:val="58595B"/>
          <w:sz w:val="16"/>
          <w:szCs w:val="16"/>
        </w:rPr>
        <w:t>The Conference Board creates the Present Situation Index (PSI) from survey data of approximately 5000 households across the United States to gauge public opinion about the U</w:t>
      </w:r>
      <w:r w:rsidR="00E9719E" w:rsidRPr="00C8469E">
        <w:rPr>
          <w:rFonts w:eastAsia="Avenir" w:cstheme="minorHAnsi"/>
          <w:color w:val="58595B"/>
          <w:sz w:val="16"/>
          <w:szCs w:val="16"/>
        </w:rPr>
        <w:t>S</w:t>
      </w:r>
      <w:r w:rsidRPr="00C8469E">
        <w:rPr>
          <w:rFonts w:eastAsia="Avenir" w:cstheme="minorHAnsi"/>
          <w:color w:val="58595B"/>
          <w:sz w:val="16"/>
          <w:szCs w:val="16"/>
        </w:rPr>
        <w:t xml:space="preserve"> economy. When the index is positive, people feel good about the current economic situation. When negative, people are less optimistic. The (PSI) along with the Expectations Index are used by The Conference Board to create the Consumer Confidence Index (CCI) which tells us how optimistic (or not) people are about the future of the economy.  </w:t>
      </w:r>
    </w:p>
    <w:p w14:paraId="2E73D2EC" w14:textId="77777777" w:rsidR="00B106D8" w:rsidRPr="00C8469E" w:rsidRDefault="00B106D8" w:rsidP="00B106D8">
      <w:pPr>
        <w:ind w:right="360"/>
        <w:rPr>
          <w:rFonts w:eastAsia="Avenir" w:cstheme="minorHAnsi"/>
          <w:color w:val="58595B"/>
          <w:sz w:val="16"/>
          <w:szCs w:val="16"/>
        </w:rPr>
      </w:pPr>
    </w:p>
    <w:p w14:paraId="2C6F803A" w14:textId="38C12ED9" w:rsidR="00B106D8" w:rsidRPr="00C8469E" w:rsidRDefault="00B106D8" w:rsidP="00B106D8">
      <w:pPr>
        <w:ind w:right="360"/>
        <w:rPr>
          <w:rFonts w:eastAsia="Avenir" w:cstheme="minorHAnsi"/>
          <w:color w:val="58595B"/>
          <w:sz w:val="16"/>
          <w:szCs w:val="16"/>
        </w:rPr>
      </w:pPr>
      <w:r w:rsidRPr="00C8469E">
        <w:rPr>
          <w:rFonts w:eastAsia="Avenir" w:cstheme="minorHAnsi"/>
          <w:color w:val="58595B"/>
          <w:sz w:val="16"/>
          <w:szCs w:val="16"/>
        </w:rPr>
        <w:t>The Expectations Index is a component of the Consumer Confidence Index® (CCI), which is published each month by the Conference Board. The CCI reflects consumers</w:t>
      </w:r>
      <w:r w:rsidR="00E9719E" w:rsidRPr="00C8469E">
        <w:rPr>
          <w:rFonts w:eastAsia="Avenir" w:cstheme="minorHAnsi"/>
          <w:color w:val="58595B"/>
          <w:sz w:val="16"/>
          <w:szCs w:val="16"/>
        </w:rPr>
        <w:t>'</w:t>
      </w:r>
      <w:r w:rsidRPr="00C8469E">
        <w:rPr>
          <w:rFonts w:eastAsia="Avenir" w:cstheme="minorHAnsi"/>
          <w:color w:val="58595B"/>
          <w:sz w:val="16"/>
          <w:szCs w:val="16"/>
        </w:rPr>
        <w:t xml:space="preserve"> short-</w:t>
      </w:r>
      <w:proofErr w:type="gramStart"/>
      <w:r w:rsidRPr="00C8469E">
        <w:rPr>
          <w:rFonts w:eastAsia="Avenir" w:cstheme="minorHAnsi"/>
          <w:color w:val="58595B"/>
          <w:sz w:val="16"/>
          <w:szCs w:val="16"/>
        </w:rPr>
        <w:t>term—</w:t>
      </w:r>
      <w:proofErr w:type="gramEnd"/>
      <w:r w:rsidRPr="00C8469E">
        <w:rPr>
          <w:rFonts w:eastAsia="Avenir" w:cstheme="minorHAnsi"/>
          <w:color w:val="58595B"/>
          <w:sz w:val="16"/>
          <w:szCs w:val="16"/>
        </w:rPr>
        <w:t xml:space="preserve">that is, six-month—outlook for, and sentiment about, the performance of the overall economy as it </w:t>
      </w:r>
      <w:proofErr w:type="gramStart"/>
      <w:r w:rsidRPr="00C8469E">
        <w:rPr>
          <w:rFonts w:eastAsia="Avenir" w:cstheme="minorHAnsi"/>
          <w:color w:val="58595B"/>
          <w:sz w:val="16"/>
          <w:szCs w:val="16"/>
        </w:rPr>
        <w:t>effects</w:t>
      </w:r>
      <w:proofErr w:type="gramEnd"/>
      <w:r w:rsidRPr="00C8469E">
        <w:rPr>
          <w:rFonts w:eastAsia="Avenir" w:cstheme="minorHAnsi"/>
          <w:color w:val="58595B"/>
          <w:sz w:val="16"/>
          <w:szCs w:val="16"/>
        </w:rPr>
        <w:t xml:space="preserve"> them. The Expectations Index is made up of the average of the CCI components that deal with six-month outlooks for business, employment, and income.</w:t>
      </w:r>
    </w:p>
    <w:p w14:paraId="4C96F867" w14:textId="77777777" w:rsidR="00B106D8" w:rsidRPr="00C8469E" w:rsidRDefault="00B106D8" w:rsidP="00B106D8">
      <w:pPr>
        <w:ind w:right="360"/>
        <w:rPr>
          <w:rFonts w:eastAsia="Avenir" w:cstheme="minorHAnsi"/>
          <w:color w:val="58595B"/>
          <w:sz w:val="16"/>
          <w:szCs w:val="16"/>
        </w:rPr>
      </w:pPr>
    </w:p>
    <w:p w14:paraId="4568CBF8" w14:textId="77777777" w:rsidR="00FC7BD6" w:rsidRPr="00C8469E" w:rsidRDefault="00FC7BD6" w:rsidP="00BF0243">
      <w:pPr>
        <w:widowControl/>
        <w:rPr>
          <w:rFonts w:cstheme="minorHAnsi"/>
          <w:color w:val="58595B"/>
          <w:sz w:val="16"/>
          <w:szCs w:val="16"/>
        </w:rPr>
      </w:pPr>
    </w:p>
    <w:p w14:paraId="38BAF61A" w14:textId="77777777" w:rsidR="00FC7BD6" w:rsidRPr="00C8469E" w:rsidRDefault="00FC7BD6" w:rsidP="00BF0243">
      <w:pPr>
        <w:widowControl/>
        <w:rPr>
          <w:rFonts w:cstheme="minorHAnsi"/>
          <w:color w:val="58595B"/>
          <w:sz w:val="16"/>
          <w:szCs w:val="16"/>
        </w:rPr>
      </w:pPr>
    </w:p>
    <w:p w14:paraId="0A6BBA20" w14:textId="77777777" w:rsidR="00FC7BD6" w:rsidRPr="00C8469E" w:rsidRDefault="00FC7BD6" w:rsidP="00BF0243">
      <w:pPr>
        <w:widowControl/>
        <w:rPr>
          <w:rFonts w:cstheme="minorHAnsi"/>
          <w:color w:val="58595B"/>
          <w:sz w:val="16"/>
          <w:szCs w:val="16"/>
        </w:rPr>
      </w:pPr>
    </w:p>
    <w:p w14:paraId="1E5B4CA4" w14:textId="77777777" w:rsidR="00AC2F68" w:rsidRPr="00C8469E" w:rsidRDefault="00AC2F68" w:rsidP="00BF0243">
      <w:pPr>
        <w:widowControl/>
        <w:rPr>
          <w:rFonts w:cstheme="minorHAnsi"/>
          <w:color w:val="58595B"/>
          <w:sz w:val="16"/>
          <w:szCs w:val="16"/>
        </w:rPr>
      </w:pPr>
    </w:p>
    <w:p w14:paraId="21A20807" w14:textId="77777777" w:rsidR="003423BA" w:rsidRPr="00C8469E" w:rsidRDefault="003423BA" w:rsidP="00BF0243">
      <w:pPr>
        <w:widowControl/>
        <w:rPr>
          <w:rFonts w:cstheme="minorHAnsi"/>
          <w:color w:val="58595B"/>
          <w:sz w:val="16"/>
          <w:szCs w:val="16"/>
        </w:rPr>
      </w:pPr>
    </w:p>
    <w:p w14:paraId="384CED5D" w14:textId="77777777" w:rsidR="008A12E0" w:rsidRPr="00C8469E" w:rsidRDefault="008A12E0" w:rsidP="00BF0243">
      <w:pPr>
        <w:widowControl/>
        <w:rPr>
          <w:rFonts w:cstheme="minorHAnsi"/>
          <w:color w:val="58595B"/>
          <w:sz w:val="16"/>
          <w:szCs w:val="16"/>
        </w:rPr>
      </w:pPr>
    </w:p>
    <w:p w14:paraId="11905BA2" w14:textId="77777777" w:rsidR="00F65C37" w:rsidRPr="00C8469E" w:rsidRDefault="00F65C37" w:rsidP="00BF0243">
      <w:pPr>
        <w:widowControl/>
        <w:rPr>
          <w:rFonts w:cstheme="minorHAnsi"/>
          <w:color w:val="58595B"/>
          <w:sz w:val="16"/>
          <w:szCs w:val="16"/>
        </w:rPr>
      </w:pPr>
    </w:p>
    <w:p w14:paraId="722F1D50" w14:textId="77777777" w:rsidR="00334F31" w:rsidRPr="00C8469E" w:rsidRDefault="00334F31" w:rsidP="00BF0243">
      <w:pPr>
        <w:widowControl/>
        <w:rPr>
          <w:rFonts w:cstheme="minorHAnsi"/>
          <w:color w:val="58595B"/>
          <w:sz w:val="16"/>
          <w:szCs w:val="16"/>
        </w:rPr>
      </w:pPr>
    </w:p>
    <w:p w14:paraId="7492C6A9" w14:textId="77777777" w:rsidR="00100EFB" w:rsidRPr="00C8469E" w:rsidRDefault="00100EFB" w:rsidP="00BF0243">
      <w:pPr>
        <w:widowControl/>
        <w:rPr>
          <w:rFonts w:cstheme="minorHAnsi"/>
          <w:color w:val="58595B"/>
          <w:sz w:val="16"/>
          <w:szCs w:val="16"/>
        </w:rPr>
      </w:pPr>
    </w:p>
    <w:p w14:paraId="1AC94D80" w14:textId="77777777" w:rsidR="00C8469E" w:rsidRPr="00C8469E" w:rsidRDefault="00C8469E" w:rsidP="00BF0243">
      <w:pPr>
        <w:widowControl/>
        <w:rPr>
          <w:rFonts w:cstheme="minorHAnsi"/>
          <w:color w:val="58595B"/>
          <w:sz w:val="16"/>
          <w:szCs w:val="16"/>
        </w:rPr>
      </w:pPr>
    </w:p>
    <w:p w14:paraId="4C2A2270" w14:textId="77777777" w:rsidR="00C8469E" w:rsidRPr="00C8469E" w:rsidRDefault="00C8469E" w:rsidP="00BF0243">
      <w:pPr>
        <w:widowControl/>
        <w:rPr>
          <w:rFonts w:cstheme="minorHAnsi"/>
          <w:color w:val="58595B"/>
          <w:sz w:val="16"/>
          <w:szCs w:val="16"/>
        </w:rPr>
      </w:pPr>
    </w:p>
    <w:p w14:paraId="212B1833" w14:textId="77777777" w:rsidR="00C8469E" w:rsidRPr="00C8469E" w:rsidRDefault="00C8469E" w:rsidP="00BF0243">
      <w:pPr>
        <w:widowControl/>
        <w:rPr>
          <w:rFonts w:cstheme="minorHAnsi"/>
          <w:color w:val="58595B"/>
          <w:sz w:val="16"/>
          <w:szCs w:val="16"/>
        </w:rPr>
      </w:pPr>
    </w:p>
    <w:p w14:paraId="713EED9C" w14:textId="77777777" w:rsidR="00C8469E" w:rsidRPr="00C8469E" w:rsidRDefault="00C8469E" w:rsidP="00BF0243">
      <w:pPr>
        <w:widowControl/>
        <w:rPr>
          <w:rFonts w:cstheme="minorHAnsi"/>
          <w:color w:val="58595B"/>
          <w:sz w:val="16"/>
          <w:szCs w:val="16"/>
        </w:rPr>
      </w:pPr>
    </w:p>
    <w:p w14:paraId="70CEE53F" w14:textId="77777777" w:rsidR="008F081A" w:rsidRPr="00C8469E" w:rsidRDefault="008F081A" w:rsidP="00BF0243">
      <w:pPr>
        <w:widowControl/>
        <w:rPr>
          <w:rFonts w:cstheme="minorHAnsi"/>
          <w:color w:val="58595B"/>
          <w:sz w:val="16"/>
          <w:szCs w:val="16"/>
        </w:rPr>
      </w:pPr>
    </w:p>
    <w:p w14:paraId="79DAF556" w14:textId="77777777" w:rsidR="008C31AD" w:rsidRPr="00C8469E" w:rsidRDefault="008C31AD" w:rsidP="00BF0243">
      <w:pPr>
        <w:widowControl/>
        <w:rPr>
          <w:rFonts w:cstheme="minorHAnsi"/>
          <w:color w:val="58595B"/>
          <w:sz w:val="16"/>
          <w:szCs w:val="16"/>
        </w:rPr>
      </w:pPr>
    </w:p>
    <w:p w14:paraId="05C49B31" w14:textId="77777777" w:rsidR="00FC7BD6" w:rsidRPr="00C8469E" w:rsidRDefault="00FC7BD6" w:rsidP="00BF0243">
      <w:pPr>
        <w:widowControl/>
        <w:rPr>
          <w:rFonts w:cstheme="minorHAnsi"/>
          <w:color w:val="58595B"/>
          <w:sz w:val="16"/>
          <w:szCs w:val="16"/>
        </w:rPr>
      </w:pPr>
    </w:p>
    <w:p w14:paraId="0BB0043C" w14:textId="35700FBF" w:rsidR="00834733" w:rsidRPr="00C8469E" w:rsidRDefault="00486DA1" w:rsidP="00BF0243">
      <w:pPr>
        <w:widowControl/>
        <w:rPr>
          <w:rFonts w:cstheme="minorHAnsi"/>
          <w:color w:val="58595B"/>
          <w:sz w:val="16"/>
          <w:szCs w:val="16"/>
        </w:rPr>
      </w:pPr>
      <w:r w:rsidRPr="00C8469E">
        <w:rPr>
          <w:rFonts w:cstheme="minorHAnsi"/>
          <w:color w:val="58595B"/>
          <w:sz w:val="16"/>
          <w:szCs w:val="16"/>
        </w:rPr>
        <w:t>©20</w:t>
      </w:r>
      <w:r w:rsidR="00834733" w:rsidRPr="00C8469E">
        <w:rPr>
          <w:rFonts w:cstheme="minorHAnsi"/>
          <w:color w:val="58595B"/>
          <w:sz w:val="16"/>
          <w:szCs w:val="16"/>
        </w:rPr>
        <w:t>2</w:t>
      </w:r>
      <w:r w:rsidR="001C3947" w:rsidRPr="00C8469E">
        <w:rPr>
          <w:rFonts w:cstheme="minorHAnsi"/>
          <w:color w:val="58595B"/>
          <w:sz w:val="16"/>
          <w:szCs w:val="16"/>
        </w:rPr>
        <w:t>5</w:t>
      </w:r>
      <w:r w:rsidRPr="00C8469E">
        <w:rPr>
          <w:rFonts w:cstheme="minorHAnsi"/>
          <w:color w:val="58595B"/>
          <w:sz w:val="16"/>
          <w:szCs w:val="16"/>
        </w:rPr>
        <w:t xml:space="preserve"> Wealthcare Capital Management LLC</w:t>
      </w:r>
      <w:r w:rsidR="00970261" w:rsidRPr="00C8469E">
        <w:rPr>
          <w:rFonts w:cstheme="minorHAnsi"/>
          <w:color w:val="58595B"/>
          <w:sz w:val="16"/>
          <w:szCs w:val="16"/>
        </w:rPr>
        <w:t>,</w:t>
      </w:r>
      <w:r w:rsidR="00E249E2" w:rsidRPr="00C8469E">
        <w:rPr>
          <w:rFonts w:cstheme="minorHAnsi"/>
          <w:color w:val="58595B"/>
          <w:sz w:val="16"/>
          <w:szCs w:val="16"/>
        </w:rPr>
        <w:t xml:space="preserve"> Wealthcare Advisory Partners LLC</w:t>
      </w:r>
      <w:r w:rsidR="00970261" w:rsidRPr="00C8469E">
        <w:rPr>
          <w:rFonts w:cstheme="minorHAnsi"/>
          <w:color w:val="58595B"/>
          <w:sz w:val="16"/>
          <w:szCs w:val="16"/>
        </w:rPr>
        <w:t xml:space="preserve">, and Wealthcare </w:t>
      </w:r>
      <w:r w:rsidR="00462D29" w:rsidRPr="00C8469E">
        <w:rPr>
          <w:rFonts w:cstheme="minorHAnsi"/>
          <w:color w:val="58595B"/>
          <w:sz w:val="16"/>
          <w:szCs w:val="16"/>
        </w:rPr>
        <w:t>Capital Partners LLC</w:t>
      </w:r>
      <w:r w:rsidR="00E249E2" w:rsidRPr="00C8469E">
        <w:rPr>
          <w:rFonts w:cstheme="minorHAnsi"/>
          <w:color w:val="58595B"/>
          <w:sz w:val="16"/>
          <w:szCs w:val="16"/>
        </w:rPr>
        <w:t xml:space="preserve"> </w:t>
      </w:r>
      <w:r w:rsidRPr="00C8469E">
        <w:rPr>
          <w:rFonts w:cstheme="minorHAnsi"/>
          <w:color w:val="58595B"/>
          <w:sz w:val="16"/>
          <w:szCs w:val="16"/>
        </w:rPr>
        <w:t>(</w:t>
      </w:r>
      <w:r w:rsidR="00E15CC8" w:rsidRPr="00C8469E">
        <w:rPr>
          <w:rFonts w:cstheme="minorHAnsi"/>
          <w:color w:val="58595B"/>
          <w:sz w:val="16"/>
          <w:szCs w:val="16"/>
        </w:rPr>
        <w:t>"</w:t>
      </w:r>
      <w:r w:rsidRPr="00C8469E">
        <w:rPr>
          <w:rFonts w:cstheme="minorHAnsi"/>
          <w:color w:val="58595B"/>
          <w:sz w:val="16"/>
          <w:szCs w:val="16"/>
        </w:rPr>
        <w:t>Wealthcare</w:t>
      </w:r>
      <w:r w:rsidR="00E15CC8" w:rsidRPr="00C8469E">
        <w:rPr>
          <w:rFonts w:cstheme="minorHAnsi"/>
          <w:color w:val="58595B"/>
          <w:sz w:val="16"/>
          <w:szCs w:val="16"/>
        </w:rPr>
        <w:t>"</w:t>
      </w:r>
      <w:r w:rsidRPr="00C8469E">
        <w:rPr>
          <w:rFonts w:cstheme="minorHAnsi"/>
          <w:color w:val="58595B"/>
          <w:sz w:val="16"/>
          <w:szCs w:val="16"/>
        </w:rPr>
        <w:t>) is a registered investment advisor with the U</w:t>
      </w:r>
      <w:r w:rsidR="00E9719E" w:rsidRPr="00C8469E">
        <w:rPr>
          <w:rFonts w:cstheme="minorHAnsi"/>
          <w:color w:val="58595B"/>
          <w:sz w:val="16"/>
          <w:szCs w:val="16"/>
        </w:rPr>
        <w:t>S</w:t>
      </w:r>
      <w:r w:rsidRPr="00C8469E">
        <w:rPr>
          <w:rFonts w:cstheme="minorHAnsi"/>
          <w:color w:val="58595B"/>
          <w:sz w:val="16"/>
          <w:szCs w:val="16"/>
        </w:rPr>
        <w:t xml:space="preserve"> Securities and Exchange Commission (SEC) under the Investment Advisors Act of 1940.  All Rights Reserved.  </w:t>
      </w:r>
    </w:p>
    <w:p w14:paraId="3545E6AC" w14:textId="77777777" w:rsidR="00FB63C1" w:rsidRPr="00C8469E" w:rsidRDefault="00FB63C1" w:rsidP="00524C3C">
      <w:pPr>
        <w:widowControl/>
        <w:spacing w:line="120" w:lineRule="auto"/>
        <w:rPr>
          <w:rFonts w:cstheme="minorHAnsi"/>
          <w:color w:val="58595B"/>
          <w:sz w:val="16"/>
          <w:szCs w:val="16"/>
        </w:rPr>
      </w:pPr>
    </w:p>
    <w:p w14:paraId="48BBA534" w14:textId="7EFF1581" w:rsidR="00834733" w:rsidRPr="00C8469E" w:rsidRDefault="00486DA1" w:rsidP="00BF0243">
      <w:pPr>
        <w:pStyle w:val="BodyText"/>
        <w:widowControl/>
        <w:ind w:left="0"/>
        <w:rPr>
          <w:rFonts w:asciiTheme="minorHAnsi" w:eastAsiaTheme="minorEastAsia" w:hAnsiTheme="minorHAnsi" w:cstheme="minorHAnsi"/>
          <w:color w:val="58595B"/>
          <w:sz w:val="16"/>
          <w:szCs w:val="16"/>
        </w:rPr>
      </w:pPr>
      <w:r w:rsidRPr="00C8469E">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C8469E"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1ADDB252" w:rsidR="008E01C4" w:rsidRPr="00C8469E" w:rsidRDefault="00486DA1" w:rsidP="00BF0243">
      <w:pPr>
        <w:widowControl/>
        <w:rPr>
          <w:rFonts w:eastAsiaTheme="minorEastAsia" w:cstheme="minorHAnsi"/>
          <w:color w:val="58595B"/>
          <w:sz w:val="16"/>
          <w:szCs w:val="16"/>
        </w:rPr>
      </w:pPr>
      <w:r w:rsidRPr="00C8469E">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C8469E">
        <w:rPr>
          <w:rFonts w:eastAsiaTheme="minorEastAsia" w:cstheme="minorHAnsi"/>
          <w:iCs/>
          <w:color w:val="58595B"/>
          <w:sz w:val="16"/>
          <w:szCs w:val="16"/>
        </w:rPr>
        <w:t xml:space="preserve">or guarantee a client will in all </w:t>
      </w:r>
      <w:r w:rsidRPr="00C8469E">
        <w:rPr>
          <w:rFonts w:eastAsiaTheme="minorEastAsia" w:cstheme="minorHAnsi"/>
          <w:color w:val="58595B"/>
          <w:sz w:val="16"/>
          <w:szCs w:val="16"/>
        </w:rPr>
        <w:t>circumstances of changing personal financial goals and market conditions be able to remain in a client's Wealthcare Plan Comfort Zone®.</w:t>
      </w:r>
      <w:r w:rsidRPr="00C8469E">
        <w:rPr>
          <w:rFonts w:eastAsiaTheme="minorEastAsia" w:cstheme="minorHAnsi"/>
          <w:i/>
          <w:iCs/>
          <w:color w:val="58595B"/>
          <w:sz w:val="16"/>
          <w:szCs w:val="16"/>
        </w:rPr>
        <w:t xml:space="preserve"> </w:t>
      </w:r>
      <w:r w:rsidRPr="00C8469E">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C8469E">
        <w:rPr>
          <w:rFonts w:eastAsiaTheme="minorEastAsia" w:cstheme="minorHAnsi"/>
          <w:color w:val="58595B"/>
          <w:sz w:val="16"/>
          <w:szCs w:val="16"/>
        </w:rPr>
        <w:t>period of time</w:t>
      </w:r>
      <w:proofErr w:type="gramEnd"/>
      <w:r w:rsidRPr="00C8469E">
        <w:rPr>
          <w:rFonts w:eastAsiaTheme="minorEastAsia" w:cstheme="minorHAnsi"/>
          <w:color w:val="58595B"/>
          <w:sz w:val="16"/>
          <w:szCs w:val="16"/>
        </w:rPr>
        <w:t xml:space="preserve">.  </w:t>
      </w:r>
    </w:p>
    <w:p w14:paraId="35D64863" w14:textId="77777777" w:rsidR="00B42635" w:rsidRPr="00126EFF" w:rsidRDefault="00B42635" w:rsidP="00BF0243">
      <w:pPr>
        <w:widowControl/>
        <w:rPr>
          <w:rFonts w:eastAsiaTheme="minorEastAsia" w:cstheme="minorHAnsi"/>
          <w:color w:val="58595B"/>
          <w:sz w:val="10"/>
          <w:szCs w:val="10"/>
        </w:rPr>
      </w:pPr>
    </w:p>
    <w:p w14:paraId="3245EC30" w14:textId="77777777" w:rsidR="00C519BC" w:rsidRPr="00126EFF" w:rsidRDefault="00C519BC" w:rsidP="00BF0243">
      <w:pPr>
        <w:widowControl/>
        <w:rPr>
          <w:rFonts w:eastAsiaTheme="minorEastAsia" w:cstheme="minorHAnsi"/>
          <w:color w:val="58595B"/>
          <w:sz w:val="16"/>
          <w:szCs w:val="16"/>
        </w:rPr>
      </w:pPr>
    </w:p>
    <w:p w14:paraId="18931756" w14:textId="77777777" w:rsidR="00462D29" w:rsidRPr="00126EFF" w:rsidRDefault="00462D29" w:rsidP="00BF0243">
      <w:pPr>
        <w:widowControl/>
        <w:rPr>
          <w:rFonts w:eastAsiaTheme="minorEastAsia" w:cstheme="minorHAnsi"/>
          <w:color w:val="58595B"/>
          <w:sz w:val="16"/>
          <w:szCs w:val="16"/>
        </w:rPr>
      </w:pPr>
    </w:p>
    <w:p w14:paraId="0C7B813D" w14:textId="22FD243C" w:rsidR="005D075C" w:rsidRPr="00126EFF" w:rsidRDefault="00486DA1" w:rsidP="00BF0243">
      <w:pPr>
        <w:jc w:val="center"/>
        <w:rPr>
          <w:rFonts w:eastAsia="Calibri" w:cstheme="minorHAnsi"/>
          <w:color w:val="58595B"/>
          <w:sz w:val="20"/>
          <w:szCs w:val="20"/>
        </w:rPr>
      </w:pPr>
      <w:r w:rsidRPr="00126EFF">
        <w:rPr>
          <w:rFonts w:eastAsia="Calibri" w:cstheme="minorHAnsi"/>
          <w:noProof/>
          <w:color w:val="58595B"/>
          <w:sz w:val="20"/>
          <w:szCs w:val="20"/>
        </w:rPr>
        <w:drawing>
          <wp:inline distT="0" distB="0" distL="0" distR="0" wp14:anchorId="6FB7838E" wp14:editId="595DB285">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126EFF" w:rsidRDefault="00420166" w:rsidP="00BF0243">
      <w:pPr>
        <w:jc w:val="center"/>
        <w:rPr>
          <w:rFonts w:eastAsia="Calibri" w:cstheme="minorHAnsi"/>
          <w:color w:val="58595B"/>
          <w:sz w:val="20"/>
          <w:szCs w:val="20"/>
        </w:rPr>
      </w:pPr>
    </w:p>
    <w:p w14:paraId="10C4F9F5" w14:textId="77777777" w:rsidR="0075254C" w:rsidRPr="00126EFF" w:rsidRDefault="0075254C" w:rsidP="00BF0243">
      <w:pPr>
        <w:jc w:val="center"/>
        <w:rPr>
          <w:rFonts w:eastAsia="Calibri" w:cstheme="minorHAnsi"/>
          <w:color w:val="58595B"/>
          <w:sz w:val="10"/>
          <w:szCs w:val="10"/>
        </w:rPr>
      </w:pPr>
    </w:p>
    <w:p w14:paraId="4E3A0774" w14:textId="54C850ED" w:rsidR="00DC061F" w:rsidRPr="00126EFF" w:rsidRDefault="00486DA1" w:rsidP="00BF0243">
      <w:pPr>
        <w:pStyle w:val="BodyText"/>
        <w:ind w:left="0"/>
        <w:jc w:val="center"/>
        <w:rPr>
          <w:rFonts w:asciiTheme="minorHAnsi" w:hAnsiTheme="minorHAnsi" w:cstheme="minorHAnsi"/>
          <w:color w:val="58595B"/>
          <w:spacing w:val="-1"/>
        </w:rPr>
      </w:pPr>
      <w:r w:rsidRPr="00126EFF">
        <w:rPr>
          <w:rFonts w:asciiTheme="minorHAnsi" w:hAnsiTheme="minorHAnsi" w:cstheme="minorHAnsi"/>
          <w:color w:val="58595B"/>
        </w:rPr>
        <w:t>Two James Center</w:t>
      </w:r>
      <w:r w:rsidR="00CC2D02" w:rsidRPr="00126EFF">
        <w:rPr>
          <w:rFonts w:asciiTheme="minorHAnsi" w:hAnsiTheme="minorHAnsi" w:cstheme="minorHAnsi"/>
          <w:color w:val="58595B"/>
        </w:rPr>
        <w:t>,</w:t>
      </w:r>
      <w:r w:rsidRPr="00126EFF">
        <w:rPr>
          <w:rFonts w:asciiTheme="minorHAnsi" w:hAnsiTheme="minorHAnsi" w:cstheme="minorHAnsi"/>
          <w:color w:val="58595B"/>
        </w:rPr>
        <w:t xml:space="preserve"> 102</w:t>
      </w:r>
      <w:r w:rsidR="00CC2D02" w:rsidRPr="00126EFF">
        <w:rPr>
          <w:rFonts w:asciiTheme="minorHAnsi" w:hAnsiTheme="minorHAnsi" w:cstheme="minorHAnsi"/>
          <w:color w:val="58595B"/>
        </w:rPr>
        <w:t>1</w:t>
      </w:r>
      <w:r w:rsidRPr="00126EFF">
        <w:rPr>
          <w:rFonts w:asciiTheme="minorHAnsi" w:hAnsiTheme="minorHAnsi" w:cstheme="minorHAnsi"/>
          <w:color w:val="58595B"/>
        </w:rPr>
        <w:t xml:space="preserve"> East Cary Street, Suite </w:t>
      </w:r>
      <w:r w:rsidR="00BB7912" w:rsidRPr="00126EFF">
        <w:rPr>
          <w:rFonts w:asciiTheme="minorHAnsi" w:hAnsiTheme="minorHAnsi" w:cstheme="minorHAnsi"/>
          <w:color w:val="58595B"/>
        </w:rPr>
        <w:t>702</w:t>
      </w:r>
      <w:r w:rsidRPr="00126EFF">
        <w:rPr>
          <w:rFonts w:asciiTheme="minorHAnsi" w:hAnsiTheme="minorHAnsi" w:cstheme="minorHAnsi"/>
          <w:color w:val="58595B"/>
        </w:rPr>
        <w:t xml:space="preserve"> | </w:t>
      </w:r>
      <w:r w:rsidRPr="00126EFF">
        <w:rPr>
          <w:rFonts w:asciiTheme="minorHAnsi" w:hAnsiTheme="minorHAnsi" w:cstheme="minorHAnsi"/>
          <w:color w:val="58595B"/>
          <w:spacing w:val="-1"/>
        </w:rPr>
        <w:t>RICHMOND,</w:t>
      </w:r>
      <w:r w:rsidRPr="00126EFF">
        <w:rPr>
          <w:rFonts w:asciiTheme="minorHAnsi" w:hAnsiTheme="minorHAnsi" w:cstheme="minorHAnsi"/>
          <w:color w:val="58595B"/>
        </w:rPr>
        <w:t xml:space="preserve"> </w:t>
      </w:r>
      <w:r w:rsidRPr="00126EFF">
        <w:rPr>
          <w:rFonts w:asciiTheme="minorHAnsi" w:hAnsiTheme="minorHAnsi" w:cstheme="minorHAnsi"/>
          <w:color w:val="58595B"/>
          <w:spacing w:val="-6"/>
        </w:rPr>
        <w:t>VA</w:t>
      </w:r>
      <w:r w:rsidRPr="00126EFF">
        <w:rPr>
          <w:rFonts w:asciiTheme="minorHAnsi" w:hAnsiTheme="minorHAnsi" w:cstheme="minorHAnsi"/>
          <w:color w:val="58595B"/>
        </w:rPr>
        <w:t xml:space="preserve"> 23219 | </w:t>
      </w:r>
      <w:r w:rsidRPr="00126EFF">
        <w:rPr>
          <w:rFonts w:asciiTheme="minorHAnsi" w:hAnsiTheme="minorHAnsi" w:cstheme="minorHAnsi"/>
          <w:color w:val="58595B"/>
          <w:spacing w:val="-1"/>
        </w:rPr>
        <w:t>804.644.4711</w:t>
      </w:r>
    </w:p>
    <w:p w14:paraId="498CF9B2" w14:textId="79587C41" w:rsidR="00310271" w:rsidRPr="00126EFF" w:rsidRDefault="00486DA1" w:rsidP="00BF0243">
      <w:pPr>
        <w:pStyle w:val="BodyText"/>
        <w:ind w:left="0"/>
        <w:jc w:val="center"/>
        <w:rPr>
          <w:rFonts w:asciiTheme="minorHAnsi" w:eastAsia="Proxima Nova Rg" w:hAnsiTheme="minorHAnsi" w:cstheme="minorHAnsi"/>
          <w:color w:val="58595B"/>
        </w:rPr>
      </w:pPr>
      <w:r w:rsidRPr="00126EFF">
        <w:rPr>
          <w:rFonts w:asciiTheme="minorHAnsi" w:eastAsia="Proxima Nova Rg" w:hAnsiTheme="minorHAnsi" w:cstheme="minorHAnsi"/>
          <w:caps/>
          <w:color w:val="58595B"/>
        </w:rPr>
        <w:t>Wealthcare</w:t>
      </w:r>
      <w:r w:rsidR="005B6E90" w:rsidRPr="00126EFF">
        <w:rPr>
          <w:rFonts w:asciiTheme="minorHAnsi" w:eastAsia="Proxima Nova Rg" w:hAnsiTheme="minorHAnsi" w:cstheme="minorHAnsi"/>
          <w:caps/>
          <w:color w:val="58595B"/>
        </w:rPr>
        <w:t>GDX</w:t>
      </w:r>
      <w:r w:rsidRPr="00126EFF">
        <w:rPr>
          <w:rFonts w:asciiTheme="minorHAnsi" w:eastAsia="Proxima Nova Rg" w:hAnsiTheme="minorHAnsi" w:cstheme="minorHAnsi"/>
          <w:caps/>
          <w:color w:val="58595B"/>
        </w:rPr>
        <w:t>.com</w:t>
      </w:r>
    </w:p>
    <w:sectPr w:rsidR="00310271" w:rsidRPr="00126EFF" w:rsidSect="00FC7D0D">
      <w:headerReference w:type="even" r:id="rId25"/>
      <w:headerReference w:type="default" r:id="rId26"/>
      <w:footerReference w:type="default" r:id="rId27"/>
      <w:headerReference w:type="first" r:id="rId28"/>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7786C" w14:textId="77777777" w:rsidR="00F16554" w:rsidRDefault="00F16554">
      <w:r>
        <w:separator/>
      </w:r>
    </w:p>
  </w:endnote>
  <w:endnote w:type="continuationSeparator" w:id="0">
    <w:p w14:paraId="255E9271" w14:textId="77777777" w:rsidR="00F16554" w:rsidRDefault="00F16554">
      <w:r>
        <w:continuationSeparator/>
      </w:r>
    </w:p>
  </w:endnote>
  <w:endnote w:type="continuationNotice" w:id="1">
    <w:p w14:paraId="7529041D" w14:textId="77777777" w:rsidR="00F16554" w:rsidRDefault="00F16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Light">
    <w:panose1 w:val="02000506030000020004"/>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B398A" w14:textId="77777777" w:rsidR="00F16554" w:rsidRDefault="00F16554">
      <w:r>
        <w:separator/>
      </w:r>
    </w:p>
  </w:footnote>
  <w:footnote w:type="continuationSeparator" w:id="0">
    <w:p w14:paraId="25FA4841" w14:textId="77777777" w:rsidR="00F16554" w:rsidRDefault="00F16554">
      <w:r>
        <w:continuationSeparator/>
      </w:r>
    </w:p>
  </w:footnote>
  <w:footnote w:type="continuationNotice" w:id="1">
    <w:p w14:paraId="1B9BAB82" w14:textId="77777777" w:rsidR="00F16554" w:rsidRDefault="00F165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N6gFAIQa9uItAAAA"/>
  </w:docVars>
  <w:rsids>
    <w:rsidRoot w:val="00310271"/>
    <w:rsid w:val="000036B2"/>
    <w:rsid w:val="0000389A"/>
    <w:rsid w:val="000071F9"/>
    <w:rsid w:val="000146B5"/>
    <w:rsid w:val="00021A3A"/>
    <w:rsid w:val="0002356D"/>
    <w:rsid w:val="00025049"/>
    <w:rsid w:val="000251DB"/>
    <w:rsid w:val="00026505"/>
    <w:rsid w:val="00027D08"/>
    <w:rsid w:val="000350BC"/>
    <w:rsid w:val="00040C3C"/>
    <w:rsid w:val="000507C5"/>
    <w:rsid w:val="000536AB"/>
    <w:rsid w:val="00053804"/>
    <w:rsid w:val="00055C2B"/>
    <w:rsid w:val="00056B71"/>
    <w:rsid w:val="00056C5F"/>
    <w:rsid w:val="0006031A"/>
    <w:rsid w:val="00060559"/>
    <w:rsid w:val="00060862"/>
    <w:rsid w:val="0006119B"/>
    <w:rsid w:val="00061AE7"/>
    <w:rsid w:val="000719FE"/>
    <w:rsid w:val="00074E6F"/>
    <w:rsid w:val="00075B30"/>
    <w:rsid w:val="000762FC"/>
    <w:rsid w:val="0008061F"/>
    <w:rsid w:val="00081994"/>
    <w:rsid w:val="00084965"/>
    <w:rsid w:val="00085051"/>
    <w:rsid w:val="00085537"/>
    <w:rsid w:val="00095231"/>
    <w:rsid w:val="00097D96"/>
    <w:rsid w:val="000A2F3C"/>
    <w:rsid w:val="000A693A"/>
    <w:rsid w:val="000A7B71"/>
    <w:rsid w:val="000B3FB0"/>
    <w:rsid w:val="000C1420"/>
    <w:rsid w:val="000C2111"/>
    <w:rsid w:val="000C4725"/>
    <w:rsid w:val="000C4E11"/>
    <w:rsid w:val="000C77BD"/>
    <w:rsid w:val="000D2FFB"/>
    <w:rsid w:val="000D3EB7"/>
    <w:rsid w:val="000E2FF8"/>
    <w:rsid w:val="000E6258"/>
    <w:rsid w:val="000E6802"/>
    <w:rsid w:val="000E6C86"/>
    <w:rsid w:val="000E6D97"/>
    <w:rsid w:val="000F3D40"/>
    <w:rsid w:val="000F7EFA"/>
    <w:rsid w:val="00100EFB"/>
    <w:rsid w:val="0010115C"/>
    <w:rsid w:val="001014AE"/>
    <w:rsid w:val="00105280"/>
    <w:rsid w:val="00105411"/>
    <w:rsid w:val="00106D0B"/>
    <w:rsid w:val="00111309"/>
    <w:rsid w:val="00113BE6"/>
    <w:rsid w:val="001144BC"/>
    <w:rsid w:val="0011558E"/>
    <w:rsid w:val="00116740"/>
    <w:rsid w:val="00120010"/>
    <w:rsid w:val="001217A4"/>
    <w:rsid w:val="0012269E"/>
    <w:rsid w:val="00123D97"/>
    <w:rsid w:val="00123FD9"/>
    <w:rsid w:val="00124661"/>
    <w:rsid w:val="00126EFF"/>
    <w:rsid w:val="00127E67"/>
    <w:rsid w:val="00132058"/>
    <w:rsid w:val="001320EA"/>
    <w:rsid w:val="00133F7F"/>
    <w:rsid w:val="0013545A"/>
    <w:rsid w:val="00140E81"/>
    <w:rsid w:val="00141D14"/>
    <w:rsid w:val="00142FBF"/>
    <w:rsid w:val="001470E4"/>
    <w:rsid w:val="001532A5"/>
    <w:rsid w:val="001534A4"/>
    <w:rsid w:val="001537A4"/>
    <w:rsid w:val="00153F4A"/>
    <w:rsid w:val="00161B54"/>
    <w:rsid w:val="00162118"/>
    <w:rsid w:val="00163EA8"/>
    <w:rsid w:val="0017091A"/>
    <w:rsid w:val="0017149B"/>
    <w:rsid w:val="0017207E"/>
    <w:rsid w:val="001730A2"/>
    <w:rsid w:val="001744D6"/>
    <w:rsid w:val="001751D9"/>
    <w:rsid w:val="00175C9D"/>
    <w:rsid w:val="00180274"/>
    <w:rsid w:val="0018292B"/>
    <w:rsid w:val="00183C38"/>
    <w:rsid w:val="00187E21"/>
    <w:rsid w:val="00192937"/>
    <w:rsid w:val="001929E9"/>
    <w:rsid w:val="00194883"/>
    <w:rsid w:val="00197C70"/>
    <w:rsid w:val="001A407F"/>
    <w:rsid w:val="001A5AE0"/>
    <w:rsid w:val="001B2147"/>
    <w:rsid w:val="001C0EE6"/>
    <w:rsid w:val="001C2F89"/>
    <w:rsid w:val="001C3947"/>
    <w:rsid w:val="001C4696"/>
    <w:rsid w:val="001C4960"/>
    <w:rsid w:val="001C50E7"/>
    <w:rsid w:val="001D1332"/>
    <w:rsid w:val="001D359E"/>
    <w:rsid w:val="001D37EA"/>
    <w:rsid w:val="001E031D"/>
    <w:rsid w:val="001E1889"/>
    <w:rsid w:val="001E3219"/>
    <w:rsid w:val="001E5301"/>
    <w:rsid w:val="001E59AF"/>
    <w:rsid w:val="001F05F8"/>
    <w:rsid w:val="001F519C"/>
    <w:rsid w:val="002043A1"/>
    <w:rsid w:val="00206D28"/>
    <w:rsid w:val="00211CF4"/>
    <w:rsid w:val="00211D5C"/>
    <w:rsid w:val="00213FC5"/>
    <w:rsid w:val="002161F9"/>
    <w:rsid w:val="00220A5E"/>
    <w:rsid w:val="002219E6"/>
    <w:rsid w:val="00223068"/>
    <w:rsid w:val="0023185E"/>
    <w:rsid w:val="002320E6"/>
    <w:rsid w:val="00233CBB"/>
    <w:rsid w:val="00234D23"/>
    <w:rsid w:val="00240EE6"/>
    <w:rsid w:val="002425A4"/>
    <w:rsid w:val="002449F4"/>
    <w:rsid w:val="00245C49"/>
    <w:rsid w:val="0024623E"/>
    <w:rsid w:val="00247F2D"/>
    <w:rsid w:val="00252CCC"/>
    <w:rsid w:val="00256B28"/>
    <w:rsid w:val="002570F6"/>
    <w:rsid w:val="00257C1B"/>
    <w:rsid w:val="002640B5"/>
    <w:rsid w:val="00271D59"/>
    <w:rsid w:val="00274EA9"/>
    <w:rsid w:val="00276A7C"/>
    <w:rsid w:val="00280765"/>
    <w:rsid w:val="00280C61"/>
    <w:rsid w:val="002858FB"/>
    <w:rsid w:val="00286212"/>
    <w:rsid w:val="0029529F"/>
    <w:rsid w:val="002A38CA"/>
    <w:rsid w:val="002A4821"/>
    <w:rsid w:val="002A4D21"/>
    <w:rsid w:val="002B07E7"/>
    <w:rsid w:val="002B27C8"/>
    <w:rsid w:val="002B2F91"/>
    <w:rsid w:val="002B3E10"/>
    <w:rsid w:val="002C01C4"/>
    <w:rsid w:val="002C0E8C"/>
    <w:rsid w:val="002C2526"/>
    <w:rsid w:val="002C3302"/>
    <w:rsid w:val="002C648F"/>
    <w:rsid w:val="002D2361"/>
    <w:rsid w:val="002D64A9"/>
    <w:rsid w:val="002E3928"/>
    <w:rsid w:val="002F2A80"/>
    <w:rsid w:val="002F35A7"/>
    <w:rsid w:val="002F681A"/>
    <w:rsid w:val="002F7E04"/>
    <w:rsid w:val="00300681"/>
    <w:rsid w:val="00301338"/>
    <w:rsid w:val="003028C3"/>
    <w:rsid w:val="00303E34"/>
    <w:rsid w:val="003044A4"/>
    <w:rsid w:val="003047D1"/>
    <w:rsid w:val="0030559E"/>
    <w:rsid w:val="00305BFE"/>
    <w:rsid w:val="00310271"/>
    <w:rsid w:val="0031043D"/>
    <w:rsid w:val="00311A2A"/>
    <w:rsid w:val="00316D34"/>
    <w:rsid w:val="00317115"/>
    <w:rsid w:val="00321455"/>
    <w:rsid w:val="003238DF"/>
    <w:rsid w:val="0032586A"/>
    <w:rsid w:val="00326B55"/>
    <w:rsid w:val="003320FC"/>
    <w:rsid w:val="00334F31"/>
    <w:rsid w:val="003423BA"/>
    <w:rsid w:val="00351C1E"/>
    <w:rsid w:val="003524EF"/>
    <w:rsid w:val="003538D0"/>
    <w:rsid w:val="00366F01"/>
    <w:rsid w:val="00373420"/>
    <w:rsid w:val="003737D4"/>
    <w:rsid w:val="003739E6"/>
    <w:rsid w:val="00374837"/>
    <w:rsid w:val="003758DC"/>
    <w:rsid w:val="00377EE1"/>
    <w:rsid w:val="00381561"/>
    <w:rsid w:val="0038183B"/>
    <w:rsid w:val="00384380"/>
    <w:rsid w:val="00387007"/>
    <w:rsid w:val="00393E6A"/>
    <w:rsid w:val="003958D3"/>
    <w:rsid w:val="00395F67"/>
    <w:rsid w:val="00396F47"/>
    <w:rsid w:val="003A021A"/>
    <w:rsid w:val="003A0958"/>
    <w:rsid w:val="003A7A3C"/>
    <w:rsid w:val="003B0255"/>
    <w:rsid w:val="003B3649"/>
    <w:rsid w:val="003B44B8"/>
    <w:rsid w:val="003B4CF3"/>
    <w:rsid w:val="003B6D62"/>
    <w:rsid w:val="003B7124"/>
    <w:rsid w:val="003B727B"/>
    <w:rsid w:val="003B730E"/>
    <w:rsid w:val="003B7896"/>
    <w:rsid w:val="003C0140"/>
    <w:rsid w:val="003C0245"/>
    <w:rsid w:val="003C52DD"/>
    <w:rsid w:val="003C566E"/>
    <w:rsid w:val="003C6216"/>
    <w:rsid w:val="003C70C1"/>
    <w:rsid w:val="003C7B91"/>
    <w:rsid w:val="003D13A4"/>
    <w:rsid w:val="003D158A"/>
    <w:rsid w:val="003D725D"/>
    <w:rsid w:val="003E2206"/>
    <w:rsid w:val="003E43C9"/>
    <w:rsid w:val="003E4BD4"/>
    <w:rsid w:val="003E63FE"/>
    <w:rsid w:val="003F0914"/>
    <w:rsid w:val="003F7F06"/>
    <w:rsid w:val="00400BA3"/>
    <w:rsid w:val="00400BB9"/>
    <w:rsid w:val="00401EB9"/>
    <w:rsid w:val="004050FD"/>
    <w:rsid w:val="004167E5"/>
    <w:rsid w:val="00417810"/>
    <w:rsid w:val="00420166"/>
    <w:rsid w:val="004235CF"/>
    <w:rsid w:val="00424748"/>
    <w:rsid w:val="004325CE"/>
    <w:rsid w:val="00435035"/>
    <w:rsid w:val="004363E3"/>
    <w:rsid w:val="00437778"/>
    <w:rsid w:val="004378D9"/>
    <w:rsid w:val="00440FCC"/>
    <w:rsid w:val="00442743"/>
    <w:rsid w:val="00445FF9"/>
    <w:rsid w:val="00451E08"/>
    <w:rsid w:val="00451F2D"/>
    <w:rsid w:val="004529C8"/>
    <w:rsid w:val="00454199"/>
    <w:rsid w:val="004575D4"/>
    <w:rsid w:val="00457719"/>
    <w:rsid w:val="00457A04"/>
    <w:rsid w:val="00461CDD"/>
    <w:rsid w:val="00462BDA"/>
    <w:rsid w:val="00462D29"/>
    <w:rsid w:val="004631A2"/>
    <w:rsid w:val="00465232"/>
    <w:rsid w:val="00465AA5"/>
    <w:rsid w:val="004678CD"/>
    <w:rsid w:val="004760FD"/>
    <w:rsid w:val="004825D7"/>
    <w:rsid w:val="00482D9C"/>
    <w:rsid w:val="0048612C"/>
    <w:rsid w:val="00486DA1"/>
    <w:rsid w:val="00490129"/>
    <w:rsid w:val="00490A1A"/>
    <w:rsid w:val="0049425B"/>
    <w:rsid w:val="00494E1B"/>
    <w:rsid w:val="0049544F"/>
    <w:rsid w:val="00495C93"/>
    <w:rsid w:val="00496DD2"/>
    <w:rsid w:val="00497869"/>
    <w:rsid w:val="004A0254"/>
    <w:rsid w:val="004A04FD"/>
    <w:rsid w:val="004A0EF4"/>
    <w:rsid w:val="004A20B9"/>
    <w:rsid w:val="004A22AB"/>
    <w:rsid w:val="004A5042"/>
    <w:rsid w:val="004B30D4"/>
    <w:rsid w:val="004B5874"/>
    <w:rsid w:val="004B7F15"/>
    <w:rsid w:val="004C00AC"/>
    <w:rsid w:val="004C0269"/>
    <w:rsid w:val="004C36D5"/>
    <w:rsid w:val="004C54A2"/>
    <w:rsid w:val="004D18D5"/>
    <w:rsid w:val="004D480C"/>
    <w:rsid w:val="004D528B"/>
    <w:rsid w:val="004D5DCD"/>
    <w:rsid w:val="004D7659"/>
    <w:rsid w:val="004E2838"/>
    <w:rsid w:val="004E2D55"/>
    <w:rsid w:val="004E2DF5"/>
    <w:rsid w:val="004E43EA"/>
    <w:rsid w:val="004E4C71"/>
    <w:rsid w:val="004E5995"/>
    <w:rsid w:val="004F22CF"/>
    <w:rsid w:val="004F6014"/>
    <w:rsid w:val="004F6419"/>
    <w:rsid w:val="004F6634"/>
    <w:rsid w:val="004F71E5"/>
    <w:rsid w:val="004F7BE0"/>
    <w:rsid w:val="00504E65"/>
    <w:rsid w:val="00512247"/>
    <w:rsid w:val="00513DD7"/>
    <w:rsid w:val="0052007B"/>
    <w:rsid w:val="00521488"/>
    <w:rsid w:val="00522EA8"/>
    <w:rsid w:val="0052404F"/>
    <w:rsid w:val="0052429D"/>
    <w:rsid w:val="00524C3C"/>
    <w:rsid w:val="00527771"/>
    <w:rsid w:val="00530BB9"/>
    <w:rsid w:val="0054458C"/>
    <w:rsid w:val="00545C4C"/>
    <w:rsid w:val="00545D21"/>
    <w:rsid w:val="0054686C"/>
    <w:rsid w:val="00546F98"/>
    <w:rsid w:val="005473D5"/>
    <w:rsid w:val="00552197"/>
    <w:rsid w:val="005537A6"/>
    <w:rsid w:val="00554141"/>
    <w:rsid w:val="005544FD"/>
    <w:rsid w:val="00555404"/>
    <w:rsid w:val="00556280"/>
    <w:rsid w:val="005625F5"/>
    <w:rsid w:val="00562D7C"/>
    <w:rsid w:val="00564075"/>
    <w:rsid w:val="00567D40"/>
    <w:rsid w:val="00570973"/>
    <w:rsid w:val="0057380B"/>
    <w:rsid w:val="0057622E"/>
    <w:rsid w:val="00584BAA"/>
    <w:rsid w:val="00593260"/>
    <w:rsid w:val="00593C4C"/>
    <w:rsid w:val="005971D3"/>
    <w:rsid w:val="00597589"/>
    <w:rsid w:val="005A0C0D"/>
    <w:rsid w:val="005A213E"/>
    <w:rsid w:val="005A25DD"/>
    <w:rsid w:val="005A2D15"/>
    <w:rsid w:val="005A30D7"/>
    <w:rsid w:val="005A503A"/>
    <w:rsid w:val="005B0F37"/>
    <w:rsid w:val="005B2B32"/>
    <w:rsid w:val="005B6E90"/>
    <w:rsid w:val="005C015E"/>
    <w:rsid w:val="005C0F5A"/>
    <w:rsid w:val="005C2D7B"/>
    <w:rsid w:val="005C33A3"/>
    <w:rsid w:val="005C3A4D"/>
    <w:rsid w:val="005C5E14"/>
    <w:rsid w:val="005C7F34"/>
    <w:rsid w:val="005D075C"/>
    <w:rsid w:val="005D0D11"/>
    <w:rsid w:val="005D1DE3"/>
    <w:rsid w:val="005D50CF"/>
    <w:rsid w:val="005D5662"/>
    <w:rsid w:val="005D7902"/>
    <w:rsid w:val="005E0EB9"/>
    <w:rsid w:val="005E2E0D"/>
    <w:rsid w:val="005E4B02"/>
    <w:rsid w:val="005E5936"/>
    <w:rsid w:val="005E7F47"/>
    <w:rsid w:val="005F1B03"/>
    <w:rsid w:val="00602F86"/>
    <w:rsid w:val="00606E96"/>
    <w:rsid w:val="00612551"/>
    <w:rsid w:val="00615328"/>
    <w:rsid w:val="00615D4E"/>
    <w:rsid w:val="00621409"/>
    <w:rsid w:val="00623D53"/>
    <w:rsid w:val="0062491C"/>
    <w:rsid w:val="006256A2"/>
    <w:rsid w:val="00627D1B"/>
    <w:rsid w:val="00632E73"/>
    <w:rsid w:val="006336AC"/>
    <w:rsid w:val="00637143"/>
    <w:rsid w:val="0064196E"/>
    <w:rsid w:val="0064384D"/>
    <w:rsid w:val="006445D3"/>
    <w:rsid w:val="00647D86"/>
    <w:rsid w:val="006504F5"/>
    <w:rsid w:val="00651250"/>
    <w:rsid w:val="00652AF4"/>
    <w:rsid w:val="00653D3B"/>
    <w:rsid w:val="006549DF"/>
    <w:rsid w:val="0065534E"/>
    <w:rsid w:val="006555E9"/>
    <w:rsid w:val="00656A11"/>
    <w:rsid w:val="00660116"/>
    <w:rsid w:val="0066125D"/>
    <w:rsid w:val="00661EC6"/>
    <w:rsid w:val="00662593"/>
    <w:rsid w:val="00666482"/>
    <w:rsid w:val="006732D9"/>
    <w:rsid w:val="00676700"/>
    <w:rsid w:val="00681E99"/>
    <w:rsid w:val="0068201F"/>
    <w:rsid w:val="00682DD2"/>
    <w:rsid w:val="00683FAC"/>
    <w:rsid w:val="00686641"/>
    <w:rsid w:val="006918CC"/>
    <w:rsid w:val="0069522A"/>
    <w:rsid w:val="00695F42"/>
    <w:rsid w:val="006967BB"/>
    <w:rsid w:val="006B2F77"/>
    <w:rsid w:val="006B76C3"/>
    <w:rsid w:val="006C1374"/>
    <w:rsid w:val="006D0717"/>
    <w:rsid w:val="006D3705"/>
    <w:rsid w:val="006D6D46"/>
    <w:rsid w:val="006E1C96"/>
    <w:rsid w:val="006E51E1"/>
    <w:rsid w:val="006E5CA8"/>
    <w:rsid w:val="006E779D"/>
    <w:rsid w:val="006F28A9"/>
    <w:rsid w:val="006F3418"/>
    <w:rsid w:val="006F45C0"/>
    <w:rsid w:val="006F7759"/>
    <w:rsid w:val="00700EEA"/>
    <w:rsid w:val="0070100C"/>
    <w:rsid w:val="007017CA"/>
    <w:rsid w:val="00701959"/>
    <w:rsid w:val="007024E7"/>
    <w:rsid w:val="00703612"/>
    <w:rsid w:val="00703E18"/>
    <w:rsid w:val="00703E54"/>
    <w:rsid w:val="007043AD"/>
    <w:rsid w:val="00705DD5"/>
    <w:rsid w:val="00711587"/>
    <w:rsid w:val="007134F0"/>
    <w:rsid w:val="00714486"/>
    <w:rsid w:val="00714F42"/>
    <w:rsid w:val="007156EF"/>
    <w:rsid w:val="007171FE"/>
    <w:rsid w:val="00717379"/>
    <w:rsid w:val="00717514"/>
    <w:rsid w:val="007178A5"/>
    <w:rsid w:val="00721D5E"/>
    <w:rsid w:val="00723E52"/>
    <w:rsid w:val="00724F65"/>
    <w:rsid w:val="00726E85"/>
    <w:rsid w:val="00731AF3"/>
    <w:rsid w:val="00740AC7"/>
    <w:rsid w:val="007412E9"/>
    <w:rsid w:val="00741B49"/>
    <w:rsid w:val="00744F40"/>
    <w:rsid w:val="007500D2"/>
    <w:rsid w:val="00750595"/>
    <w:rsid w:val="00750961"/>
    <w:rsid w:val="00750FD6"/>
    <w:rsid w:val="0075254C"/>
    <w:rsid w:val="007537D7"/>
    <w:rsid w:val="00755010"/>
    <w:rsid w:val="007617CE"/>
    <w:rsid w:val="007623A0"/>
    <w:rsid w:val="00762F64"/>
    <w:rsid w:val="007638EA"/>
    <w:rsid w:val="00763EF4"/>
    <w:rsid w:val="0076475E"/>
    <w:rsid w:val="00764BD1"/>
    <w:rsid w:val="007677EC"/>
    <w:rsid w:val="00770A5E"/>
    <w:rsid w:val="00776123"/>
    <w:rsid w:val="00784623"/>
    <w:rsid w:val="00790D86"/>
    <w:rsid w:val="007919DD"/>
    <w:rsid w:val="007924FF"/>
    <w:rsid w:val="00794E3F"/>
    <w:rsid w:val="0079782C"/>
    <w:rsid w:val="00797DE1"/>
    <w:rsid w:val="007A0312"/>
    <w:rsid w:val="007A0DA1"/>
    <w:rsid w:val="007A3EC8"/>
    <w:rsid w:val="007A52F8"/>
    <w:rsid w:val="007A6DBD"/>
    <w:rsid w:val="007B0610"/>
    <w:rsid w:val="007B5170"/>
    <w:rsid w:val="007B59A5"/>
    <w:rsid w:val="007B7745"/>
    <w:rsid w:val="007C0D49"/>
    <w:rsid w:val="007C2D9B"/>
    <w:rsid w:val="007C344D"/>
    <w:rsid w:val="007C3925"/>
    <w:rsid w:val="007C4B80"/>
    <w:rsid w:val="007C67DB"/>
    <w:rsid w:val="007C7524"/>
    <w:rsid w:val="007D2D41"/>
    <w:rsid w:val="007D450B"/>
    <w:rsid w:val="007D5645"/>
    <w:rsid w:val="007E0095"/>
    <w:rsid w:val="007E1098"/>
    <w:rsid w:val="007E1511"/>
    <w:rsid w:val="007E4BAC"/>
    <w:rsid w:val="007E4E13"/>
    <w:rsid w:val="007E55DD"/>
    <w:rsid w:val="007F10EF"/>
    <w:rsid w:val="007F4DAC"/>
    <w:rsid w:val="007F669A"/>
    <w:rsid w:val="007F7717"/>
    <w:rsid w:val="0080555E"/>
    <w:rsid w:val="00805E10"/>
    <w:rsid w:val="008062B1"/>
    <w:rsid w:val="00806F76"/>
    <w:rsid w:val="00807A2D"/>
    <w:rsid w:val="00811543"/>
    <w:rsid w:val="00816C8D"/>
    <w:rsid w:val="00820771"/>
    <w:rsid w:val="0082261D"/>
    <w:rsid w:val="008256B4"/>
    <w:rsid w:val="008259BC"/>
    <w:rsid w:val="00827816"/>
    <w:rsid w:val="00830B56"/>
    <w:rsid w:val="00834435"/>
    <w:rsid w:val="00834733"/>
    <w:rsid w:val="00834EB9"/>
    <w:rsid w:val="00837A07"/>
    <w:rsid w:val="008419A8"/>
    <w:rsid w:val="00842281"/>
    <w:rsid w:val="0084270D"/>
    <w:rsid w:val="00843BA5"/>
    <w:rsid w:val="00845472"/>
    <w:rsid w:val="0084613B"/>
    <w:rsid w:val="00850E11"/>
    <w:rsid w:val="00851F21"/>
    <w:rsid w:val="00853A5C"/>
    <w:rsid w:val="008567BB"/>
    <w:rsid w:val="00857CE9"/>
    <w:rsid w:val="008638E1"/>
    <w:rsid w:val="0087185E"/>
    <w:rsid w:val="0087496B"/>
    <w:rsid w:val="00876380"/>
    <w:rsid w:val="00877495"/>
    <w:rsid w:val="00880D05"/>
    <w:rsid w:val="008844F6"/>
    <w:rsid w:val="00886CF6"/>
    <w:rsid w:val="0089443D"/>
    <w:rsid w:val="008A0ED6"/>
    <w:rsid w:val="008A12E0"/>
    <w:rsid w:val="008A55C6"/>
    <w:rsid w:val="008A6088"/>
    <w:rsid w:val="008A7868"/>
    <w:rsid w:val="008B38FF"/>
    <w:rsid w:val="008B4686"/>
    <w:rsid w:val="008B6D72"/>
    <w:rsid w:val="008B769E"/>
    <w:rsid w:val="008C0D79"/>
    <w:rsid w:val="008C31AD"/>
    <w:rsid w:val="008C3985"/>
    <w:rsid w:val="008C4043"/>
    <w:rsid w:val="008C716E"/>
    <w:rsid w:val="008D1AC2"/>
    <w:rsid w:val="008D35C8"/>
    <w:rsid w:val="008D5D78"/>
    <w:rsid w:val="008D741D"/>
    <w:rsid w:val="008D7593"/>
    <w:rsid w:val="008E01C4"/>
    <w:rsid w:val="008E056D"/>
    <w:rsid w:val="008E5DE9"/>
    <w:rsid w:val="008F081A"/>
    <w:rsid w:val="008F12F3"/>
    <w:rsid w:val="008F5D7B"/>
    <w:rsid w:val="0090011F"/>
    <w:rsid w:val="00900651"/>
    <w:rsid w:val="009015F6"/>
    <w:rsid w:val="0090192B"/>
    <w:rsid w:val="00904AE2"/>
    <w:rsid w:val="00907CEA"/>
    <w:rsid w:val="0091089B"/>
    <w:rsid w:val="009110A4"/>
    <w:rsid w:val="0091217D"/>
    <w:rsid w:val="00914AFF"/>
    <w:rsid w:val="009176C8"/>
    <w:rsid w:val="009200A3"/>
    <w:rsid w:val="00920389"/>
    <w:rsid w:val="009227B3"/>
    <w:rsid w:val="00922E9D"/>
    <w:rsid w:val="00923A8D"/>
    <w:rsid w:val="00924011"/>
    <w:rsid w:val="009307EE"/>
    <w:rsid w:val="009329CD"/>
    <w:rsid w:val="0094135E"/>
    <w:rsid w:val="00941B78"/>
    <w:rsid w:val="009421C4"/>
    <w:rsid w:val="00943EA9"/>
    <w:rsid w:val="009446EB"/>
    <w:rsid w:val="0094730E"/>
    <w:rsid w:val="00950001"/>
    <w:rsid w:val="00951B43"/>
    <w:rsid w:val="009525F2"/>
    <w:rsid w:val="0095400E"/>
    <w:rsid w:val="00955EBF"/>
    <w:rsid w:val="00957520"/>
    <w:rsid w:val="00960CA5"/>
    <w:rsid w:val="00962148"/>
    <w:rsid w:val="00962FF6"/>
    <w:rsid w:val="0096312F"/>
    <w:rsid w:val="00963B94"/>
    <w:rsid w:val="009643B4"/>
    <w:rsid w:val="00965D77"/>
    <w:rsid w:val="00967A7A"/>
    <w:rsid w:val="00970261"/>
    <w:rsid w:val="00972106"/>
    <w:rsid w:val="00972770"/>
    <w:rsid w:val="0097491B"/>
    <w:rsid w:val="009762D3"/>
    <w:rsid w:val="0097697C"/>
    <w:rsid w:val="00976D35"/>
    <w:rsid w:val="0098000F"/>
    <w:rsid w:val="00980F0E"/>
    <w:rsid w:val="0098279E"/>
    <w:rsid w:val="00983962"/>
    <w:rsid w:val="0099048D"/>
    <w:rsid w:val="00990AEE"/>
    <w:rsid w:val="00995041"/>
    <w:rsid w:val="00995AEF"/>
    <w:rsid w:val="00997EBD"/>
    <w:rsid w:val="009A02EB"/>
    <w:rsid w:val="009A37DB"/>
    <w:rsid w:val="009A3DB4"/>
    <w:rsid w:val="009A448E"/>
    <w:rsid w:val="009B1563"/>
    <w:rsid w:val="009B4639"/>
    <w:rsid w:val="009B4976"/>
    <w:rsid w:val="009B4B9D"/>
    <w:rsid w:val="009B54A0"/>
    <w:rsid w:val="009B7188"/>
    <w:rsid w:val="009D0EF3"/>
    <w:rsid w:val="009D46CC"/>
    <w:rsid w:val="009E114D"/>
    <w:rsid w:val="009E274F"/>
    <w:rsid w:val="009F1391"/>
    <w:rsid w:val="009F19DF"/>
    <w:rsid w:val="009F2929"/>
    <w:rsid w:val="009F4F1D"/>
    <w:rsid w:val="009F70BD"/>
    <w:rsid w:val="00A00DE7"/>
    <w:rsid w:val="00A049E2"/>
    <w:rsid w:val="00A04C54"/>
    <w:rsid w:val="00A05DEE"/>
    <w:rsid w:val="00A11F92"/>
    <w:rsid w:val="00A1218C"/>
    <w:rsid w:val="00A22F75"/>
    <w:rsid w:val="00A26AC3"/>
    <w:rsid w:val="00A31B84"/>
    <w:rsid w:val="00A3398B"/>
    <w:rsid w:val="00A37CFE"/>
    <w:rsid w:val="00A40946"/>
    <w:rsid w:val="00A42F7D"/>
    <w:rsid w:val="00A46DE6"/>
    <w:rsid w:val="00A5513B"/>
    <w:rsid w:val="00A5537B"/>
    <w:rsid w:val="00A56914"/>
    <w:rsid w:val="00A613CC"/>
    <w:rsid w:val="00A621BC"/>
    <w:rsid w:val="00A65456"/>
    <w:rsid w:val="00A6691B"/>
    <w:rsid w:val="00A754E7"/>
    <w:rsid w:val="00A763E7"/>
    <w:rsid w:val="00A77876"/>
    <w:rsid w:val="00A81377"/>
    <w:rsid w:val="00A87A54"/>
    <w:rsid w:val="00A90736"/>
    <w:rsid w:val="00A93393"/>
    <w:rsid w:val="00AA02F6"/>
    <w:rsid w:val="00AA0D57"/>
    <w:rsid w:val="00AA3C1E"/>
    <w:rsid w:val="00AB025D"/>
    <w:rsid w:val="00AB1444"/>
    <w:rsid w:val="00AB4AA0"/>
    <w:rsid w:val="00AC246F"/>
    <w:rsid w:val="00AC2F68"/>
    <w:rsid w:val="00AC6240"/>
    <w:rsid w:val="00AC7DFF"/>
    <w:rsid w:val="00AD0F1D"/>
    <w:rsid w:val="00AD571B"/>
    <w:rsid w:val="00AD5B9F"/>
    <w:rsid w:val="00AD6482"/>
    <w:rsid w:val="00AE050B"/>
    <w:rsid w:val="00AE355A"/>
    <w:rsid w:val="00AE4730"/>
    <w:rsid w:val="00AE5933"/>
    <w:rsid w:val="00AF4F9B"/>
    <w:rsid w:val="00AF6165"/>
    <w:rsid w:val="00AF73E9"/>
    <w:rsid w:val="00B008BF"/>
    <w:rsid w:val="00B010F5"/>
    <w:rsid w:val="00B04E79"/>
    <w:rsid w:val="00B106D8"/>
    <w:rsid w:val="00B1237F"/>
    <w:rsid w:val="00B14A3F"/>
    <w:rsid w:val="00B21DF7"/>
    <w:rsid w:val="00B23CB8"/>
    <w:rsid w:val="00B278B8"/>
    <w:rsid w:val="00B3012A"/>
    <w:rsid w:val="00B31916"/>
    <w:rsid w:val="00B32982"/>
    <w:rsid w:val="00B342D7"/>
    <w:rsid w:val="00B412D0"/>
    <w:rsid w:val="00B41F85"/>
    <w:rsid w:val="00B42635"/>
    <w:rsid w:val="00B42EFD"/>
    <w:rsid w:val="00B43370"/>
    <w:rsid w:val="00B44158"/>
    <w:rsid w:val="00B469E4"/>
    <w:rsid w:val="00B51A09"/>
    <w:rsid w:val="00B52F08"/>
    <w:rsid w:val="00B5439B"/>
    <w:rsid w:val="00B56B09"/>
    <w:rsid w:val="00B57F19"/>
    <w:rsid w:val="00B601FA"/>
    <w:rsid w:val="00B613BE"/>
    <w:rsid w:val="00B62503"/>
    <w:rsid w:val="00B64A88"/>
    <w:rsid w:val="00B6511F"/>
    <w:rsid w:val="00B6575E"/>
    <w:rsid w:val="00B6712C"/>
    <w:rsid w:val="00B73C8D"/>
    <w:rsid w:val="00B758FB"/>
    <w:rsid w:val="00B82A95"/>
    <w:rsid w:val="00B84A02"/>
    <w:rsid w:val="00B85C98"/>
    <w:rsid w:val="00B90DA6"/>
    <w:rsid w:val="00B90FC3"/>
    <w:rsid w:val="00B91EBD"/>
    <w:rsid w:val="00B92EE8"/>
    <w:rsid w:val="00B97AFD"/>
    <w:rsid w:val="00BA0C70"/>
    <w:rsid w:val="00BA2CC6"/>
    <w:rsid w:val="00BA2D41"/>
    <w:rsid w:val="00BA3AC9"/>
    <w:rsid w:val="00BA4143"/>
    <w:rsid w:val="00BA5B1A"/>
    <w:rsid w:val="00BA66B4"/>
    <w:rsid w:val="00BB0C49"/>
    <w:rsid w:val="00BB219B"/>
    <w:rsid w:val="00BB5458"/>
    <w:rsid w:val="00BB7912"/>
    <w:rsid w:val="00BC0621"/>
    <w:rsid w:val="00BC19BA"/>
    <w:rsid w:val="00BC1CC0"/>
    <w:rsid w:val="00BC2C82"/>
    <w:rsid w:val="00BD19FA"/>
    <w:rsid w:val="00BD35A2"/>
    <w:rsid w:val="00BD5752"/>
    <w:rsid w:val="00BD60B5"/>
    <w:rsid w:val="00BD63FA"/>
    <w:rsid w:val="00BD7275"/>
    <w:rsid w:val="00BE28B7"/>
    <w:rsid w:val="00BE3FE9"/>
    <w:rsid w:val="00BE7FC6"/>
    <w:rsid w:val="00BF0243"/>
    <w:rsid w:val="00BF19D8"/>
    <w:rsid w:val="00BF1AAE"/>
    <w:rsid w:val="00BF2195"/>
    <w:rsid w:val="00BF300F"/>
    <w:rsid w:val="00BF5C01"/>
    <w:rsid w:val="00C01FC8"/>
    <w:rsid w:val="00C033C8"/>
    <w:rsid w:val="00C03AB7"/>
    <w:rsid w:val="00C03FF2"/>
    <w:rsid w:val="00C04E70"/>
    <w:rsid w:val="00C05BC2"/>
    <w:rsid w:val="00C10313"/>
    <w:rsid w:val="00C1181C"/>
    <w:rsid w:val="00C13384"/>
    <w:rsid w:val="00C13591"/>
    <w:rsid w:val="00C1403A"/>
    <w:rsid w:val="00C14B5D"/>
    <w:rsid w:val="00C16713"/>
    <w:rsid w:val="00C1768F"/>
    <w:rsid w:val="00C20D43"/>
    <w:rsid w:val="00C21098"/>
    <w:rsid w:val="00C219B7"/>
    <w:rsid w:val="00C22E7D"/>
    <w:rsid w:val="00C22F31"/>
    <w:rsid w:val="00C23A23"/>
    <w:rsid w:val="00C24E4A"/>
    <w:rsid w:val="00C309DD"/>
    <w:rsid w:val="00C32235"/>
    <w:rsid w:val="00C32E69"/>
    <w:rsid w:val="00C338CD"/>
    <w:rsid w:val="00C3645F"/>
    <w:rsid w:val="00C36DFD"/>
    <w:rsid w:val="00C40488"/>
    <w:rsid w:val="00C437FE"/>
    <w:rsid w:val="00C4506C"/>
    <w:rsid w:val="00C46828"/>
    <w:rsid w:val="00C519BC"/>
    <w:rsid w:val="00C53863"/>
    <w:rsid w:val="00C54BED"/>
    <w:rsid w:val="00C54DD1"/>
    <w:rsid w:val="00C570E1"/>
    <w:rsid w:val="00C60411"/>
    <w:rsid w:val="00C604AF"/>
    <w:rsid w:val="00C64E73"/>
    <w:rsid w:val="00C64F63"/>
    <w:rsid w:val="00C66249"/>
    <w:rsid w:val="00C71857"/>
    <w:rsid w:val="00C71FF6"/>
    <w:rsid w:val="00C77191"/>
    <w:rsid w:val="00C81BA7"/>
    <w:rsid w:val="00C83CC2"/>
    <w:rsid w:val="00C8469E"/>
    <w:rsid w:val="00C85FF6"/>
    <w:rsid w:val="00C87564"/>
    <w:rsid w:val="00C907B1"/>
    <w:rsid w:val="00CA10C2"/>
    <w:rsid w:val="00CA423F"/>
    <w:rsid w:val="00CA77B7"/>
    <w:rsid w:val="00CB1608"/>
    <w:rsid w:val="00CB1910"/>
    <w:rsid w:val="00CB30ED"/>
    <w:rsid w:val="00CB3785"/>
    <w:rsid w:val="00CB424D"/>
    <w:rsid w:val="00CB5069"/>
    <w:rsid w:val="00CC0FDD"/>
    <w:rsid w:val="00CC1528"/>
    <w:rsid w:val="00CC1C61"/>
    <w:rsid w:val="00CC2D02"/>
    <w:rsid w:val="00CC3E4A"/>
    <w:rsid w:val="00CC3FA5"/>
    <w:rsid w:val="00CD2641"/>
    <w:rsid w:val="00CD4556"/>
    <w:rsid w:val="00CE1C42"/>
    <w:rsid w:val="00CE233B"/>
    <w:rsid w:val="00CE2D47"/>
    <w:rsid w:val="00CE39E0"/>
    <w:rsid w:val="00CE62F7"/>
    <w:rsid w:val="00CE7DF2"/>
    <w:rsid w:val="00CF00E3"/>
    <w:rsid w:val="00CF093E"/>
    <w:rsid w:val="00CF1602"/>
    <w:rsid w:val="00CF1B81"/>
    <w:rsid w:val="00CF1BAA"/>
    <w:rsid w:val="00CF34E8"/>
    <w:rsid w:val="00D00879"/>
    <w:rsid w:val="00D0261F"/>
    <w:rsid w:val="00D034B7"/>
    <w:rsid w:val="00D05DF5"/>
    <w:rsid w:val="00D14185"/>
    <w:rsid w:val="00D15709"/>
    <w:rsid w:val="00D15F4E"/>
    <w:rsid w:val="00D17439"/>
    <w:rsid w:val="00D22917"/>
    <w:rsid w:val="00D26F72"/>
    <w:rsid w:val="00D30449"/>
    <w:rsid w:val="00D32EFB"/>
    <w:rsid w:val="00D360C5"/>
    <w:rsid w:val="00D409A8"/>
    <w:rsid w:val="00D42D9A"/>
    <w:rsid w:val="00D50A92"/>
    <w:rsid w:val="00D55894"/>
    <w:rsid w:val="00D55D70"/>
    <w:rsid w:val="00D5610D"/>
    <w:rsid w:val="00D576D7"/>
    <w:rsid w:val="00D6278F"/>
    <w:rsid w:val="00D62EA9"/>
    <w:rsid w:val="00D74A18"/>
    <w:rsid w:val="00D75448"/>
    <w:rsid w:val="00D756FD"/>
    <w:rsid w:val="00D75C33"/>
    <w:rsid w:val="00D821AE"/>
    <w:rsid w:val="00D86139"/>
    <w:rsid w:val="00D86563"/>
    <w:rsid w:val="00D9009B"/>
    <w:rsid w:val="00D909B8"/>
    <w:rsid w:val="00D922F6"/>
    <w:rsid w:val="00D96987"/>
    <w:rsid w:val="00D97DF6"/>
    <w:rsid w:val="00DA3544"/>
    <w:rsid w:val="00DA423D"/>
    <w:rsid w:val="00DA514C"/>
    <w:rsid w:val="00DA667C"/>
    <w:rsid w:val="00DA7301"/>
    <w:rsid w:val="00DB136E"/>
    <w:rsid w:val="00DB3D33"/>
    <w:rsid w:val="00DB4F20"/>
    <w:rsid w:val="00DB4FE6"/>
    <w:rsid w:val="00DB66E1"/>
    <w:rsid w:val="00DC061F"/>
    <w:rsid w:val="00DC39C5"/>
    <w:rsid w:val="00DC3EF3"/>
    <w:rsid w:val="00DC493E"/>
    <w:rsid w:val="00DC5AC8"/>
    <w:rsid w:val="00DC63C0"/>
    <w:rsid w:val="00DC70D3"/>
    <w:rsid w:val="00DD3B32"/>
    <w:rsid w:val="00DD748D"/>
    <w:rsid w:val="00DE2617"/>
    <w:rsid w:val="00DE3290"/>
    <w:rsid w:val="00DE4686"/>
    <w:rsid w:val="00DE660F"/>
    <w:rsid w:val="00DE7CAE"/>
    <w:rsid w:val="00DF115D"/>
    <w:rsid w:val="00DF1E02"/>
    <w:rsid w:val="00DF589D"/>
    <w:rsid w:val="00DF5D78"/>
    <w:rsid w:val="00DF6C35"/>
    <w:rsid w:val="00DF6CCB"/>
    <w:rsid w:val="00E005F9"/>
    <w:rsid w:val="00E0109B"/>
    <w:rsid w:val="00E01674"/>
    <w:rsid w:val="00E068FD"/>
    <w:rsid w:val="00E13554"/>
    <w:rsid w:val="00E13977"/>
    <w:rsid w:val="00E158C0"/>
    <w:rsid w:val="00E15BEF"/>
    <w:rsid w:val="00E15CC8"/>
    <w:rsid w:val="00E17B6F"/>
    <w:rsid w:val="00E22E74"/>
    <w:rsid w:val="00E249E2"/>
    <w:rsid w:val="00E25950"/>
    <w:rsid w:val="00E30DB4"/>
    <w:rsid w:val="00E3118A"/>
    <w:rsid w:val="00E361B6"/>
    <w:rsid w:val="00E4127A"/>
    <w:rsid w:val="00E41CB0"/>
    <w:rsid w:val="00E42C8D"/>
    <w:rsid w:val="00E4354E"/>
    <w:rsid w:val="00E43D28"/>
    <w:rsid w:val="00E45703"/>
    <w:rsid w:val="00E463D4"/>
    <w:rsid w:val="00E50BC4"/>
    <w:rsid w:val="00E5192E"/>
    <w:rsid w:val="00E51D8A"/>
    <w:rsid w:val="00E54EC0"/>
    <w:rsid w:val="00E55B2F"/>
    <w:rsid w:val="00E65E5A"/>
    <w:rsid w:val="00E729B6"/>
    <w:rsid w:val="00E73B5F"/>
    <w:rsid w:val="00E761F7"/>
    <w:rsid w:val="00E76A5C"/>
    <w:rsid w:val="00E8223C"/>
    <w:rsid w:val="00E829DC"/>
    <w:rsid w:val="00E82D3C"/>
    <w:rsid w:val="00E83506"/>
    <w:rsid w:val="00E85CF7"/>
    <w:rsid w:val="00E90502"/>
    <w:rsid w:val="00E91598"/>
    <w:rsid w:val="00E96DD1"/>
    <w:rsid w:val="00E9719E"/>
    <w:rsid w:val="00EA0CB3"/>
    <w:rsid w:val="00EA120E"/>
    <w:rsid w:val="00EA1E0B"/>
    <w:rsid w:val="00EA5F56"/>
    <w:rsid w:val="00EA7B9E"/>
    <w:rsid w:val="00EB2652"/>
    <w:rsid w:val="00EC0220"/>
    <w:rsid w:val="00EC2860"/>
    <w:rsid w:val="00EC2992"/>
    <w:rsid w:val="00EC3E2E"/>
    <w:rsid w:val="00EC4A14"/>
    <w:rsid w:val="00EC5E0A"/>
    <w:rsid w:val="00ED0975"/>
    <w:rsid w:val="00ED44E6"/>
    <w:rsid w:val="00ED749C"/>
    <w:rsid w:val="00EE0FB7"/>
    <w:rsid w:val="00EE188E"/>
    <w:rsid w:val="00EE3523"/>
    <w:rsid w:val="00EE69AF"/>
    <w:rsid w:val="00EE6D91"/>
    <w:rsid w:val="00EE7D63"/>
    <w:rsid w:val="00EF1341"/>
    <w:rsid w:val="00EF26B3"/>
    <w:rsid w:val="00EF3A04"/>
    <w:rsid w:val="00EF421D"/>
    <w:rsid w:val="00EF4FDE"/>
    <w:rsid w:val="00F05EB3"/>
    <w:rsid w:val="00F12C03"/>
    <w:rsid w:val="00F1553D"/>
    <w:rsid w:val="00F16554"/>
    <w:rsid w:val="00F201A1"/>
    <w:rsid w:val="00F20C2D"/>
    <w:rsid w:val="00F21AFE"/>
    <w:rsid w:val="00F236B2"/>
    <w:rsid w:val="00F25A3F"/>
    <w:rsid w:val="00F27917"/>
    <w:rsid w:val="00F3241A"/>
    <w:rsid w:val="00F33A78"/>
    <w:rsid w:val="00F33E81"/>
    <w:rsid w:val="00F40E86"/>
    <w:rsid w:val="00F43692"/>
    <w:rsid w:val="00F44D38"/>
    <w:rsid w:val="00F45C2C"/>
    <w:rsid w:val="00F4795C"/>
    <w:rsid w:val="00F50281"/>
    <w:rsid w:val="00F50A50"/>
    <w:rsid w:val="00F50EB0"/>
    <w:rsid w:val="00F51344"/>
    <w:rsid w:val="00F513DF"/>
    <w:rsid w:val="00F529AF"/>
    <w:rsid w:val="00F54018"/>
    <w:rsid w:val="00F54DC8"/>
    <w:rsid w:val="00F56D0D"/>
    <w:rsid w:val="00F60324"/>
    <w:rsid w:val="00F61203"/>
    <w:rsid w:val="00F641A7"/>
    <w:rsid w:val="00F65C37"/>
    <w:rsid w:val="00F67D1F"/>
    <w:rsid w:val="00F7205E"/>
    <w:rsid w:val="00F72A72"/>
    <w:rsid w:val="00F77085"/>
    <w:rsid w:val="00F8517C"/>
    <w:rsid w:val="00F85A28"/>
    <w:rsid w:val="00F86277"/>
    <w:rsid w:val="00F91303"/>
    <w:rsid w:val="00F94B31"/>
    <w:rsid w:val="00F96FDC"/>
    <w:rsid w:val="00F979F9"/>
    <w:rsid w:val="00FA27FD"/>
    <w:rsid w:val="00FA2943"/>
    <w:rsid w:val="00FA57CE"/>
    <w:rsid w:val="00FA6742"/>
    <w:rsid w:val="00FA70DF"/>
    <w:rsid w:val="00FA7962"/>
    <w:rsid w:val="00FB0056"/>
    <w:rsid w:val="00FB211E"/>
    <w:rsid w:val="00FB2AB6"/>
    <w:rsid w:val="00FB41E4"/>
    <w:rsid w:val="00FB430F"/>
    <w:rsid w:val="00FB54F9"/>
    <w:rsid w:val="00FB63C1"/>
    <w:rsid w:val="00FB6674"/>
    <w:rsid w:val="00FC125E"/>
    <w:rsid w:val="00FC38B3"/>
    <w:rsid w:val="00FC58C8"/>
    <w:rsid w:val="00FC7BD6"/>
    <w:rsid w:val="00FC7D0D"/>
    <w:rsid w:val="00FD4128"/>
    <w:rsid w:val="00FD42C5"/>
    <w:rsid w:val="00FD43C9"/>
    <w:rsid w:val="00FD4916"/>
    <w:rsid w:val="00FD5531"/>
    <w:rsid w:val="00FE282A"/>
    <w:rsid w:val="00FE3147"/>
    <w:rsid w:val="00FE36D4"/>
    <w:rsid w:val="00FE51BA"/>
    <w:rsid w:val="00FE629C"/>
    <w:rsid w:val="00FF2450"/>
    <w:rsid w:val="00FF2A06"/>
    <w:rsid w:val="00FF421C"/>
    <w:rsid w:val="00FF4856"/>
    <w:rsid w:val="00FF4A69"/>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4DD1"/>
    <w:rPr>
      <w:color w:val="605E5C"/>
      <w:shd w:val="clear" w:color="auto" w:fill="E1DFDD"/>
    </w:rPr>
  </w:style>
  <w:style w:type="character" w:styleId="FollowedHyperlink">
    <w:name w:val="FollowedHyperlink"/>
    <w:basedOn w:val="DefaultParagraphFont"/>
    <w:uiPriority w:val="99"/>
    <w:semiHidden/>
    <w:unhideWhenUsed/>
    <w:rsid w:val="00180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479423063">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618419259">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890308342">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029524105">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525438770">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70739681">
      <w:bodyDiv w:val="1"/>
      <w:marLeft w:val="0"/>
      <w:marRight w:val="0"/>
      <w:marTop w:val="0"/>
      <w:marBottom w:val="0"/>
      <w:divBdr>
        <w:top w:val="none" w:sz="0" w:space="0" w:color="auto"/>
        <w:left w:val="none" w:sz="0" w:space="0" w:color="auto"/>
        <w:bottom w:val="none" w:sz="0" w:space="0" w:color="auto"/>
        <w:right w:val="none" w:sz="0" w:space="0" w:color="auto"/>
      </w:divBdr>
    </w:div>
    <w:div w:id="1779447510">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10311436">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cnbc.com/2025/10/29/fed-rate-decision-october-2025.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wsj.com/market-data/quotes/index/SPX/advanced-char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pnews.com/article/mortgage-rates-housing-interest-financing-home-2a9ebc50f832c1d538db29e699316475" TargetMode="External"/><Relationship Id="rId28" Type="http://schemas.openxmlformats.org/officeDocument/2006/relationships/header" Target="header6.xml"/><Relationship Id="rId10" Type="http://schemas.openxmlformats.org/officeDocument/2006/relationships/endnotes" Target="endnotes.xml"/><Relationship Id="rId19"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pnews.com/article/housing-home-sales-real-estate-home-prices-c8830628bfcf6cc690f37fabca209dd1"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248e8823912c6533f615780c23d08a28">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31574601db6f8ce1b17ff40d0091d421"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2.xml><?xml version="1.0" encoding="utf-8"?>
<ds:datastoreItem xmlns:ds="http://schemas.openxmlformats.org/officeDocument/2006/customXml" ds:itemID="{D107A3CB-7924-46F8-8C28-B92D3A64D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4.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1569</Words>
  <Characters>8126</Characters>
  <Application>Microsoft Office Word</Application>
  <DocSecurity>0</DocSecurity>
  <Lines>142</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34</cp:revision>
  <cp:lastPrinted>2025-11-03T18:40:00Z</cp:lastPrinted>
  <dcterms:created xsi:type="dcterms:W3CDTF">2025-10-01T19:14:00Z</dcterms:created>
  <dcterms:modified xsi:type="dcterms:W3CDTF">2025-11-03T18:40:00Z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