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77CFFE9D" w:rsidR="00CE7DF2" w:rsidRPr="00126EFF" w:rsidRDefault="008C716E" w:rsidP="00BF0243">
      <w:pPr>
        <w:rPr>
          <w:rFonts w:eastAsia="Times New Roman" w:cstheme="minorHAnsi"/>
          <w:color w:val="58595B"/>
          <w:sz w:val="20"/>
          <w:szCs w:val="20"/>
        </w:rPr>
      </w:pPr>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456FC73C" w:rsidR="00310271" w:rsidRPr="00053804" w:rsidRDefault="007B7D63" w:rsidP="00BF0243">
      <w:pPr>
        <w:ind w:left="720"/>
        <w:rPr>
          <w:rFonts w:eastAsia="Proxima Nova Light" w:cstheme="minorHAnsi"/>
          <w:color w:val="005EA4"/>
          <w:sz w:val="44"/>
          <w:szCs w:val="44"/>
        </w:rPr>
      </w:pPr>
      <w:r>
        <w:rPr>
          <w:rFonts w:eastAsia="Times New Roman" w:cstheme="minorHAnsi"/>
          <w:b/>
          <w:bCs/>
          <w:color w:val="005EA4"/>
          <w:sz w:val="44"/>
          <w:szCs w:val="44"/>
        </w:rPr>
        <w:t>January 2026</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5172ECF5" w14:textId="77777777" w:rsidR="00D02209" w:rsidRPr="00D42564" w:rsidRDefault="00D02209" w:rsidP="00D02209">
      <w:pPr>
        <w:rPr>
          <w:color w:val="58595B"/>
        </w:rPr>
      </w:pPr>
      <w:r w:rsidRPr="00D42564">
        <w:rPr>
          <w:color w:val="58595B"/>
        </w:rPr>
        <w:t>Stocks began 2026 slightly higher as investors digested a host of political and economic factors. Kevin Warsh's nomination to head the Federal Reserve (Fed) was largely viewed as positive. Inflation remained elevated but within expectations while personal income rose again. The real estate market also showed a glimmer of hope while consumer confidence fell to its lowest level since 2014.</w:t>
      </w:r>
    </w:p>
    <w:p w14:paraId="5181C886" w14:textId="77777777" w:rsidR="00AF1C6B" w:rsidRPr="00965B02" w:rsidRDefault="00AF1C6B" w:rsidP="00AF1C6B">
      <w:pPr>
        <w:pStyle w:val="Heading2"/>
        <w:rPr>
          <w:rFonts w:asciiTheme="minorHAnsi" w:hAnsiTheme="minorHAnsi" w:cstheme="minorHAnsi"/>
          <w:color w:val="005EA4"/>
        </w:rPr>
      </w:pPr>
      <w:r w:rsidRPr="00965B02">
        <w:rPr>
          <w:rFonts w:asciiTheme="minorHAnsi" w:hAnsiTheme="minorHAnsi" w:cstheme="minorHAnsi"/>
          <w:color w:val="005EA4"/>
        </w:rPr>
        <w:t>Stocks Edge Higher in January as Dow Leads Modest Gains</w:t>
      </w:r>
    </w:p>
    <w:p w14:paraId="79684299" w14:textId="77777777" w:rsidR="00390789" w:rsidRPr="00D42564" w:rsidRDefault="00390789" w:rsidP="00390789">
      <w:pPr>
        <w:rPr>
          <w:color w:val="58595B"/>
        </w:rPr>
      </w:pPr>
      <w:r w:rsidRPr="00D42564">
        <w:rPr>
          <w:color w:val="58595B"/>
        </w:rPr>
        <w:t xml:space="preserve">Stocks started </w:t>
      </w:r>
      <w:proofErr w:type="gramStart"/>
      <w:r w:rsidRPr="00D42564">
        <w:rPr>
          <w:color w:val="58595B"/>
        </w:rPr>
        <w:t>out</w:t>
      </w:r>
      <w:proofErr w:type="gramEnd"/>
      <w:r w:rsidRPr="00D42564">
        <w:rPr>
          <w:color w:val="58595B"/>
        </w:rPr>
        <w:t xml:space="preserve"> 2026 in positive territory, but barely. The popular Dow Jones Industrial Average® (DJIA) led the way, gaining 1.7% compared to December. The broad market S&amp;P 500® (SPX) also gained ground, adding 1.4% while the tech-heavy NASDAQ Composite Index (COMP) squeaked out a less than 1% uptick. </w:t>
      </w:r>
    </w:p>
    <w:p w14:paraId="57050F25" w14:textId="77777777" w:rsidR="00390789" w:rsidRPr="00D42564" w:rsidRDefault="00390789" w:rsidP="00390789">
      <w:pPr>
        <w:rPr>
          <w:color w:val="58595B"/>
        </w:rPr>
      </w:pPr>
    </w:p>
    <w:p w14:paraId="2FCFD8E0" w14:textId="72BACEA0" w:rsidR="00390789" w:rsidRPr="00D42564" w:rsidRDefault="00390789" w:rsidP="00390789">
      <w:pPr>
        <w:rPr>
          <w:color w:val="58595B"/>
        </w:rPr>
      </w:pPr>
      <w:r w:rsidRPr="00D42564">
        <w:rPr>
          <w:color w:val="58595B"/>
        </w:rPr>
        <w:t xml:space="preserve">Following the euphoria of 2025's annual gains, the markets sideways </w:t>
      </w:r>
      <w:proofErr w:type="gramStart"/>
      <w:r w:rsidRPr="00D42564">
        <w:rPr>
          <w:color w:val="58595B"/>
        </w:rPr>
        <w:t>move</w:t>
      </w:r>
      <w:proofErr w:type="gramEnd"/>
      <w:r w:rsidRPr="00D42564">
        <w:rPr>
          <w:color w:val="58595B"/>
        </w:rPr>
        <w:t xml:space="preserve"> and a mid-month </w:t>
      </w:r>
      <w:proofErr w:type="gramStart"/>
      <w:r w:rsidRPr="00D42564">
        <w:rPr>
          <w:color w:val="58595B"/>
        </w:rPr>
        <w:t>sell-off</w:t>
      </w:r>
      <w:proofErr w:type="gramEnd"/>
      <w:r w:rsidRPr="00D42564">
        <w:rPr>
          <w:color w:val="58595B"/>
        </w:rPr>
        <w:t xml:space="preserve"> wasn't surprising. Investors weathered a politically volatile January as well, including a host of potential tariff actions by the Trump administration</w:t>
      </w:r>
      <w:r w:rsidR="009A6949">
        <w:rPr>
          <w:color w:val="58595B"/>
        </w:rPr>
        <w:t>, as well as hyperbole surrounding a potential takeover</w:t>
      </w:r>
      <w:r w:rsidRPr="00D42564">
        <w:rPr>
          <w:color w:val="58595B"/>
        </w:rPr>
        <w:t xml:space="preserve"> of Greenland.</w:t>
      </w:r>
    </w:p>
    <w:p w14:paraId="6B2F1B11" w14:textId="77777777" w:rsidR="00390789" w:rsidRPr="00D42564" w:rsidRDefault="00390789" w:rsidP="00390789">
      <w:pPr>
        <w:rPr>
          <w:color w:val="58595B"/>
        </w:rPr>
      </w:pPr>
    </w:p>
    <w:p w14:paraId="53BFD56D" w14:textId="45771799" w:rsidR="00390789" w:rsidRPr="00D42564" w:rsidRDefault="00390789" w:rsidP="00390789">
      <w:pPr>
        <w:rPr>
          <w:color w:val="58595B"/>
        </w:rPr>
      </w:pPr>
      <w:r w:rsidRPr="00D42564">
        <w:rPr>
          <w:color w:val="58595B"/>
        </w:rPr>
        <w:t>Most notably</w:t>
      </w:r>
      <w:r w:rsidR="009A6949">
        <w:rPr>
          <w:color w:val="58595B"/>
        </w:rPr>
        <w:t>,</w:t>
      </w:r>
      <w:r w:rsidRPr="00D42564">
        <w:rPr>
          <w:color w:val="58595B"/>
        </w:rPr>
        <w:t xml:space="preserve"> the markets looked favorably upon Trump's nomination of Kevin Warsh as the next Fed chairman. The selection is likely to ease concern over the Fed's independence due to Warsh's experience as a Fed governor and his at times stance against inflation. He is also viewed as unlikely to always follow the president's impulses and will likely maintain </w:t>
      </w:r>
      <w:r w:rsidR="00215E29">
        <w:rPr>
          <w:color w:val="58595B"/>
        </w:rPr>
        <w:t>credibility</w:t>
      </w:r>
      <w:r w:rsidRPr="00D42564">
        <w:rPr>
          <w:color w:val="58595B"/>
        </w:rPr>
        <w:t xml:space="preserve"> at the Fed.</w:t>
      </w:r>
    </w:p>
    <w:p w14:paraId="245406BC" w14:textId="77777777" w:rsidR="00B53E51" w:rsidRPr="00B53E51" w:rsidRDefault="00B53E51" w:rsidP="009A448E">
      <w:pPr>
        <w:rPr>
          <w:rFonts w:cstheme="minorHAnsi"/>
        </w:rPr>
      </w:pPr>
    </w:p>
    <w:p w14:paraId="284A9595" w14:textId="77777777" w:rsidR="00E76A5C" w:rsidRPr="00124661" w:rsidRDefault="00E76A5C" w:rsidP="009A448E">
      <w:pPr>
        <w:rPr>
          <w:rFonts w:cstheme="minorHAnsi"/>
          <w:color w:val="58595B"/>
        </w:rPr>
      </w:pPr>
    </w:p>
    <w:p w14:paraId="0DF2F10B" w14:textId="45BEFB3F" w:rsidR="00FA616C" w:rsidRDefault="00AD24DD" w:rsidP="00FA616C">
      <w:pPr>
        <w:jc w:val="center"/>
      </w:pPr>
      <w:r>
        <w:rPr>
          <w:noProof/>
        </w:rPr>
        <w:drawing>
          <wp:inline distT="0" distB="0" distL="0" distR="0" wp14:anchorId="4AB971C8" wp14:editId="474EF3F3">
            <wp:extent cx="5384800" cy="3228579"/>
            <wp:effectExtent l="19050" t="19050" r="25400" b="10160"/>
            <wp:docPr id="185159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90606" nam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388706" cy="3230921"/>
                    </a:xfrm>
                    <a:prstGeom prst="rect">
                      <a:avLst/>
                    </a:prstGeom>
                    <a:ln>
                      <a:solidFill>
                        <a:schemeClr val="accent1"/>
                      </a:solidFill>
                    </a:ln>
                  </pic:spPr>
                </pic:pic>
              </a:graphicData>
            </a:graphic>
          </wp:inline>
        </w:drawing>
      </w:r>
    </w:p>
    <w:p w14:paraId="3C15F5C2" w14:textId="17DD1669" w:rsidR="00FA616C" w:rsidRDefault="00FA616C" w:rsidP="00FA616C">
      <w:pPr>
        <w:jc w:val="center"/>
      </w:pPr>
      <w:r w:rsidRPr="007E6DA0">
        <w:t xml:space="preserve">Source: </w:t>
      </w:r>
      <w:hyperlink r:id="rId20" w:history="1">
        <w:r w:rsidRPr="00F054CE">
          <w:rPr>
            <w:rStyle w:val="Hyperlink"/>
          </w:rPr>
          <w:t>Wall Street Journal</w:t>
        </w:r>
      </w:hyperlink>
    </w:p>
    <w:p w14:paraId="77413FB3" w14:textId="77777777" w:rsidR="005E5936" w:rsidRDefault="005E5936" w:rsidP="00CE60C6">
      <w:pPr>
        <w:rPr>
          <w:rFonts w:cstheme="minorHAnsi"/>
        </w:rPr>
      </w:pPr>
    </w:p>
    <w:p w14:paraId="0CE9BCE3" w14:textId="77777777" w:rsidR="00F054CE" w:rsidRDefault="00F054CE" w:rsidP="00CE60C6">
      <w:pPr>
        <w:rPr>
          <w:rFonts w:cstheme="minorHAnsi"/>
        </w:rPr>
      </w:pPr>
    </w:p>
    <w:p w14:paraId="5FE95A23" w14:textId="77777777" w:rsidR="00F054CE" w:rsidRPr="00FB0056" w:rsidRDefault="00F054CE" w:rsidP="00CE60C6">
      <w:pPr>
        <w:rPr>
          <w:rFonts w:cstheme="minorHAnsi"/>
        </w:rPr>
      </w:pPr>
    </w:p>
    <w:p w14:paraId="11FEDF3F" w14:textId="77777777" w:rsidR="00E83E8F" w:rsidRPr="00E83E8F" w:rsidRDefault="00E83E8F" w:rsidP="00E83E8F">
      <w:pPr>
        <w:pStyle w:val="Heading2"/>
        <w:rPr>
          <w:rFonts w:asciiTheme="minorHAnsi" w:hAnsiTheme="minorHAnsi" w:cstheme="minorHAnsi"/>
          <w:color w:val="005EA4"/>
        </w:rPr>
      </w:pPr>
      <w:r w:rsidRPr="00E83E8F">
        <w:rPr>
          <w:rFonts w:asciiTheme="minorHAnsi" w:hAnsiTheme="minorHAnsi" w:cstheme="minorHAnsi"/>
          <w:color w:val="005EA4"/>
        </w:rPr>
        <w:lastRenderedPageBreak/>
        <w:t>PCE Inflation Steady at 2.8% as Personal Income Rises</w:t>
      </w:r>
    </w:p>
    <w:p w14:paraId="3CFA6D7F" w14:textId="31F5155F" w:rsidR="001B2A32" w:rsidRDefault="001B2A32" w:rsidP="001B2A32">
      <w:pPr>
        <w:rPr>
          <w:color w:val="58595B"/>
        </w:rPr>
      </w:pPr>
      <w:r w:rsidRPr="00D42564">
        <w:rPr>
          <w:color w:val="58595B"/>
        </w:rPr>
        <w:t xml:space="preserve">According to the latest data from the Bureau of Economic </w:t>
      </w:r>
      <w:r w:rsidR="00AD5FF3">
        <w:rPr>
          <w:color w:val="58595B"/>
        </w:rPr>
        <w:t>Analysis, the Personal Consumption Expenditure</w:t>
      </w:r>
      <w:r w:rsidRPr="00D42564">
        <w:rPr>
          <w:color w:val="58595B"/>
        </w:rPr>
        <w:t xml:space="preserve"> (PCE) -- the Fed's preferred inflation gauge -- rose 0.2% in both October and November compared to prior months. Compared to a year ago, November PCE rose 2.8% for both the headline and the core number. The results were in line with expectations.</w:t>
      </w:r>
    </w:p>
    <w:p w14:paraId="421F563E" w14:textId="77777777" w:rsidR="005F0D6B" w:rsidRPr="00D42564" w:rsidRDefault="005F0D6B" w:rsidP="001B2A32">
      <w:pPr>
        <w:rPr>
          <w:color w:val="58595B"/>
        </w:rPr>
      </w:pPr>
    </w:p>
    <w:p w14:paraId="6E477B33" w14:textId="70457594" w:rsidR="001B2A32" w:rsidRPr="00D42564" w:rsidRDefault="001B2A32" w:rsidP="001B2A32">
      <w:pPr>
        <w:rPr>
          <w:color w:val="58595B"/>
        </w:rPr>
      </w:pPr>
      <w:r w:rsidRPr="00D42564">
        <w:rPr>
          <w:color w:val="58595B"/>
        </w:rPr>
        <w:t>November's inflation numbers were led by increases in healthcare, gasoline</w:t>
      </w:r>
      <w:r w:rsidR="00305FFE">
        <w:rPr>
          <w:color w:val="58595B"/>
        </w:rPr>
        <w:t>,</w:t>
      </w:r>
      <w:r w:rsidRPr="00D42564">
        <w:rPr>
          <w:color w:val="58595B"/>
        </w:rPr>
        <w:t xml:space="preserve"> energy products, and vehicles and parts. Transportation services declined during the month.</w:t>
      </w:r>
    </w:p>
    <w:p w14:paraId="5D98C87C" w14:textId="77777777" w:rsidR="001B2A32" w:rsidRPr="00D42564" w:rsidRDefault="001B2A32" w:rsidP="001B2A32">
      <w:pPr>
        <w:rPr>
          <w:color w:val="58595B"/>
        </w:rPr>
      </w:pPr>
    </w:p>
    <w:p w14:paraId="474E3A1B" w14:textId="23FFD8CF" w:rsidR="001B2A32" w:rsidRPr="00D42564" w:rsidRDefault="001B2A32" w:rsidP="001B2A32">
      <w:pPr>
        <w:rPr>
          <w:color w:val="58595B"/>
        </w:rPr>
      </w:pPr>
      <w:r w:rsidRPr="00D42564">
        <w:rPr>
          <w:color w:val="58595B"/>
        </w:rPr>
        <w:t>Along with a rise in prices, personal income rose $31 billion in October</w:t>
      </w:r>
      <w:r w:rsidR="00305FFE">
        <w:rPr>
          <w:color w:val="58595B"/>
        </w:rPr>
        <w:t>,</w:t>
      </w:r>
      <w:r w:rsidRPr="00D42564">
        <w:rPr>
          <w:color w:val="58595B"/>
        </w:rPr>
        <w:t xml:space="preserve"> followed by an increase of $80 billion in November. That translated into increases 0.1% in October and 0.3% in November. Disposable income also increased at the same rate. </w:t>
      </w:r>
    </w:p>
    <w:p w14:paraId="20B8D212" w14:textId="77777777" w:rsidR="001B2A32" w:rsidRPr="00D42564" w:rsidRDefault="001B2A32" w:rsidP="001B2A32">
      <w:pPr>
        <w:rPr>
          <w:color w:val="58595B"/>
        </w:rPr>
      </w:pPr>
    </w:p>
    <w:p w14:paraId="1F17EAEA" w14:textId="77777777" w:rsidR="001B2A32" w:rsidRDefault="001B2A32" w:rsidP="001B2A32">
      <w:r w:rsidRPr="00D42564">
        <w:rPr>
          <w:color w:val="58595B"/>
        </w:rPr>
        <w:t xml:space="preserve">The report points to the inflation that remains steady, not significantly out of line with expectations, but still above the 2% threshold set by the Fed. The report also reveals strong gains in US consumers' personal income. </w:t>
      </w:r>
      <w:hyperlink r:id="rId21" w:history="1">
        <w:r w:rsidRPr="009630CB">
          <w:rPr>
            <w:rStyle w:val="Hyperlink"/>
          </w:rPr>
          <w:t>CNBC</w:t>
        </w:r>
      </w:hyperlink>
      <w:r>
        <w:t xml:space="preserve">, </w:t>
      </w:r>
      <w:hyperlink r:id="rId22" w:history="1">
        <w:r w:rsidRPr="0063642E">
          <w:rPr>
            <w:rStyle w:val="Hyperlink"/>
          </w:rPr>
          <w:t>BEA</w:t>
        </w:r>
      </w:hyperlink>
    </w:p>
    <w:p w14:paraId="7ADCCF77" w14:textId="77777777" w:rsidR="00BF64AD" w:rsidRPr="00BF64AD" w:rsidRDefault="00BF64AD" w:rsidP="00BF64AD">
      <w:pPr>
        <w:pStyle w:val="Heading2"/>
        <w:rPr>
          <w:rFonts w:asciiTheme="minorHAnsi" w:hAnsiTheme="minorHAnsi" w:cstheme="minorHAnsi"/>
          <w:color w:val="005EA4"/>
        </w:rPr>
      </w:pPr>
      <w:r w:rsidRPr="00BF64AD">
        <w:rPr>
          <w:rFonts w:asciiTheme="minorHAnsi" w:hAnsiTheme="minorHAnsi" w:cstheme="minorHAnsi"/>
          <w:color w:val="005EA4"/>
        </w:rPr>
        <w:t>Existing Home Sales Jump 5.1% in December to Three-Year High</w:t>
      </w:r>
    </w:p>
    <w:p w14:paraId="68E998A0" w14:textId="77777777" w:rsidR="00A010D1" w:rsidRPr="00D42564" w:rsidRDefault="00A010D1" w:rsidP="00A010D1">
      <w:pPr>
        <w:rPr>
          <w:color w:val="58595B"/>
        </w:rPr>
      </w:pPr>
      <w:r w:rsidRPr="00D42564">
        <w:rPr>
          <w:color w:val="58595B"/>
        </w:rPr>
        <w:t>Sales of previously owned homes were 4.35 million units in December, according to the National Association of Realtors. That represented a 5.1% increase over November, over two times the 2% gain expected by analysts. December's results were the strongest in nearly 3 years. For the full year, home sales were 4.1 million units, unchanged from 2024.</w:t>
      </w:r>
    </w:p>
    <w:p w14:paraId="02C32A4C" w14:textId="77777777" w:rsidR="00A010D1" w:rsidRPr="00D42564" w:rsidRDefault="00A010D1" w:rsidP="00A010D1">
      <w:pPr>
        <w:rPr>
          <w:color w:val="58595B"/>
        </w:rPr>
      </w:pPr>
    </w:p>
    <w:p w14:paraId="64910E23" w14:textId="77777777" w:rsidR="00A010D1" w:rsidRPr="00D42564" w:rsidRDefault="00A010D1" w:rsidP="00A010D1">
      <w:pPr>
        <w:rPr>
          <w:color w:val="58595B"/>
        </w:rPr>
      </w:pPr>
      <w:r w:rsidRPr="00D42564">
        <w:rPr>
          <w:color w:val="58595B"/>
        </w:rPr>
        <w:t>Monthly increases were recorded across all US regions. Annual increases were recorded in the Northeast and Midwest but were lower in the South and West.</w:t>
      </w:r>
    </w:p>
    <w:p w14:paraId="0345723A" w14:textId="77777777" w:rsidR="00A010D1" w:rsidRPr="00D42564" w:rsidRDefault="00A010D1" w:rsidP="00A010D1">
      <w:pPr>
        <w:rPr>
          <w:color w:val="58595B"/>
        </w:rPr>
      </w:pPr>
    </w:p>
    <w:p w14:paraId="2BD830A7" w14:textId="77777777" w:rsidR="00A010D1" w:rsidRPr="00D42564" w:rsidRDefault="00A010D1" w:rsidP="00A010D1">
      <w:pPr>
        <w:rPr>
          <w:color w:val="58595B"/>
        </w:rPr>
      </w:pPr>
      <w:r w:rsidRPr="00D42564">
        <w:rPr>
          <w:color w:val="58595B"/>
        </w:rPr>
        <w:t xml:space="preserve">The sales figures are based on </w:t>
      </w:r>
      <w:proofErr w:type="gramStart"/>
      <w:r w:rsidRPr="00D42564">
        <w:rPr>
          <w:color w:val="58595B"/>
        </w:rPr>
        <w:t>closings</w:t>
      </w:r>
      <w:proofErr w:type="gramEnd"/>
      <w:r w:rsidRPr="00D42564">
        <w:rPr>
          <w:color w:val="58595B"/>
        </w:rPr>
        <w:t>, so they are likely to reflect contracts executed in October and November when mortgage rates hovered around 6.2% and 6.3%, a rate much lower than the 7% common in spring and summer.</w:t>
      </w:r>
    </w:p>
    <w:p w14:paraId="04C1CD2C" w14:textId="77777777" w:rsidR="00B22DBF" w:rsidRPr="00D42564" w:rsidRDefault="00B22DBF" w:rsidP="00A010D1">
      <w:pPr>
        <w:rPr>
          <w:color w:val="58595B"/>
        </w:rPr>
      </w:pPr>
    </w:p>
    <w:p w14:paraId="1FCF4BA4" w14:textId="24B9BE2F" w:rsidR="00A010D1" w:rsidRPr="00D42564" w:rsidRDefault="00A010D1" w:rsidP="00A010D1">
      <w:pPr>
        <w:rPr>
          <w:color w:val="58595B"/>
        </w:rPr>
      </w:pPr>
      <w:r w:rsidRPr="00D42564">
        <w:rPr>
          <w:color w:val="58595B"/>
        </w:rPr>
        <w:t xml:space="preserve">The average home price was $405,000 in December, up 0.4% annually and marking the 30th straight month of annual gains. </w:t>
      </w:r>
    </w:p>
    <w:p w14:paraId="0FE88A03" w14:textId="77777777" w:rsidR="00B22DBF" w:rsidRPr="00D42564" w:rsidRDefault="00B22DBF" w:rsidP="00A010D1">
      <w:pPr>
        <w:rPr>
          <w:color w:val="58595B"/>
        </w:rPr>
      </w:pPr>
    </w:p>
    <w:p w14:paraId="6E95854D" w14:textId="77777777" w:rsidR="00A010D1" w:rsidRDefault="00A010D1" w:rsidP="00A010D1">
      <w:r w:rsidRPr="00D42564">
        <w:rPr>
          <w:color w:val="58595B"/>
        </w:rPr>
        <w:t xml:space="preserve">"2025 was another tough year for homebuyers, marked by record-high home prices and historically low home sales,” said Lawrence Yun, chief economist for The Realtors. "However, in the fourth quarter, conditions began improving, with lower mortgage rates and slower home price growth." </w:t>
      </w:r>
      <w:hyperlink r:id="rId23" w:history="1">
        <w:r w:rsidRPr="00AC64BE">
          <w:rPr>
            <w:rStyle w:val="Hyperlink"/>
          </w:rPr>
          <w:t>CNBC</w:t>
        </w:r>
      </w:hyperlink>
      <w:r>
        <w:t xml:space="preserve">, </w:t>
      </w:r>
      <w:hyperlink r:id="rId24" w:history="1">
        <w:r w:rsidRPr="00AC64BE">
          <w:rPr>
            <w:rStyle w:val="Hyperlink"/>
          </w:rPr>
          <w:t>NAR</w:t>
        </w:r>
      </w:hyperlink>
    </w:p>
    <w:p w14:paraId="3CBDD708" w14:textId="77777777" w:rsidR="00276CCB" w:rsidRPr="009C5A20" w:rsidRDefault="00276CCB" w:rsidP="009C5A20">
      <w:pPr>
        <w:pStyle w:val="Heading2"/>
        <w:rPr>
          <w:rFonts w:asciiTheme="minorHAnsi" w:hAnsiTheme="minorHAnsi" w:cstheme="minorHAnsi"/>
          <w:color w:val="005EA4"/>
        </w:rPr>
      </w:pPr>
      <w:r w:rsidRPr="009C5A20">
        <w:rPr>
          <w:rFonts w:asciiTheme="minorHAnsi" w:hAnsiTheme="minorHAnsi" w:cstheme="minorHAnsi"/>
          <w:color w:val="005EA4"/>
        </w:rPr>
        <w:t>Consumer Confidence Falls to Lowest Level Since 2014</w:t>
      </w:r>
    </w:p>
    <w:p w14:paraId="63CFB033" w14:textId="77777777" w:rsidR="003C092C" w:rsidRPr="00D42564" w:rsidRDefault="003C092C" w:rsidP="003C092C">
      <w:pPr>
        <w:rPr>
          <w:color w:val="58595B"/>
        </w:rPr>
      </w:pPr>
      <w:r w:rsidRPr="00D42564">
        <w:rPr>
          <w:color w:val="58595B"/>
        </w:rPr>
        <w:t>How US consumers feel about their business and economic lives tumbled sharply in January, registering the lowest level of since 2014. The Conference Board Consumer Confidence Index® fell by 9.7 points to 84.5. And while December's numbers were revised slightly upward, January's results resumed the gauge's previous decline.</w:t>
      </w:r>
    </w:p>
    <w:p w14:paraId="3FFC04D7" w14:textId="77777777" w:rsidR="003C092C" w:rsidRPr="00D42564" w:rsidRDefault="003C092C" w:rsidP="003C092C">
      <w:pPr>
        <w:rPr>
          <w:color w:val="58595B"/>
        </w:rPr>
      </w:pPr>
    </w:p>
    <w:p w14:paraId="31A77A6E" w14:textId="77777777" w:rsidR="003C092C" w:rsidRPr="00D42564" w:rsidRDefault="003C092C" w:rsidP="003C092C">
      <w:pPr>
        <w:rPr>
          <w:color w:val="58595B"/>
        </w:rPr>
      </w:pPr>
      <w:r w:rsidRPr="00D42564">
        <w:rPr>
          <w:color w:val="58595B"/>
        </w:rPr>
        <w:t>How American's feel about the short-term outlook for their jobs, incomes, and business conditions -- the Expectations Index -- fell 9.5 points to 65.1. That's well below the threshold of 80, which can signal a recession. The index has now been below 80 for 12 straight months.</w:t>
      </w:r>
    </w:p>
    <w:p w14:paraId="7478F49B" w14:textId="77777777" w:rsidR="003C092C" w:rsidRPr="00D42564" w:rsidRDefault="003C092C" w:rsidP="003C092C">
      <w:pPr>
        <w:rPr>
          <w:color w:val="58595B"/>
        </w:rPr>
      </w:pPr>
    </w:p>
    <w:p w14:paraId="0110A901" w14:textId="77777777" w:rsidR="003C092C" w:rsidRPr="001F7D9E" w:rsidRDefault="003C092C" w:rsidP="003C092C">
      <w:pPr>
        <w:rPr>
          <w:color w:val="58595B"/>
        </w:rPr>
      </w:pPr>
      <w:r w:rsidRPr="001F7D9E">
        <w:rPr>
          <w:color w:val="58595B"/>
        </w:rPr>
        <w:t>Consumers' feelings about their current economic condition -- the Present Situation index -- also went down by 9.9 points in January to end at 113.7.</w:t>
      </w:r>
    </w:p>
    <w:p w14:paraId="0D1AA06C" w14:textId="77777777" w:rsidR="001F7D9E" w:rsidRPr="001F7D9E" w:rsidRDefault="001F7D9E" w:rsidP="003C092C">
      <w:pPr>
        <w:rPr>
          <w:color w:val="58595B"/>
        </w:rPr>
      </w:pPr>
    </w:p>
    <w:p w14:paraId="28752EA0" w14:textId="77777777" w:rsidR="001F7D9E" w:rsidRPr="001F7D9E" w:rsidRDefault="001F7D9E" w:rsidP="001F7D9E">
      <w:pPr>
        <w:rPr>
          <w:color w:val="58595B"/>
        </w:rPr>
      </w:pPr>
      <w:r w:rsidRPr="001F7D9E">
        <w:rPr>
          <w:color w:val="58595B"/>
        </w:rPr>
        <w:t>According to Dana M Peterson, Chief Economist, The Conference Board, "confidence collapsed in January, as consumer concerns about both the present situation and expectations for the future deepened...All five components of the Index deteriorated, driving the overall Index to its lowest level since May 2014 (82.2) -- surpassing its COVID-19 pandemic depths."</w:t>
      </w:r>
    </w:p>
    <w:p w14:paraId="467EDFF1" w14:textId="77777777" w:rsidR="001F7D9E" w:rsidRPr="001F7D9E" w:rsidRDefault="001F7D9E" w:rsidP="001F7D9E">
      <w:pPr>
        <w:rPr>
          <w:color w:val="58595B"/>
        </w:rPr>
      </w:pPr>
    </w:p>
    <w:p w14:paraId="328A87CB" w14:textId="77777777" w:rsidR="001F7D9E" w:rsidRDefault="001F7D9E" w:rsidP="001F7D9E">
      <w:r w:rsidRPr="001F7D9E">
        <w:rPr>
          <w:color w:val="58595B"/>
        </w:rPr>
        <w:t xml:space="preserve">Driving the decline was a host of the usual factors including how consumers' feel about inflation, tariffs, trade, politics, and the job market. </w:t>
      </w:r>
      <w:hyperlink r:id="rId25" w:history="1">
        <w:r w:rsidRPr="000C7604">
          <w:rPr>
            <w:rStyle w:val="Hyperlink"/>
          </w:rPr>
          <w:t>Conference Board</w:t>
        </w:r>
      </w:hyperlink>
      <w:r>
        <w:t xml:space="preserve">, </w:t>
      </w:r>
      <w:hyperlink r:id="rId26" w:history="1">
        <w:r w:rsidRPr="00B57504">
          <w:rPr>
            <w:rStyle w:val="Hyperlink"/>
          </w:rPr>
          <w:t>AP News</w:t>
        </w:r>
      </w:hyperlink>
    </w:p>
    <w:p w14:paraId="07883E28" w14:textId="77777777" w:rsidR="001F7D9E" w:rsidRDefault="001F7D9E" w:rsidP="001F7D9E"/>
    <w:p w14:paraId="12CEF40C" w14:textId="77777777" w:rsidR="001F7D9E" w:rsidRPr="00D42564" w:rsidRDefault="001F7D9E" w:rsidP="003C092C">
      <w:pPr>
        <w:rPr>
          <w:color w:val="58595B"/>
        </w:rPr>
      </w:pPr>
    </w:p>
    <w:p w14:paraId="66CCAA76" w14:textId="77777777" w:rsidR="002C5401" w:rsidRPr="00E86A90" w:rsidRDefault="002C5401" w:rsidP="00BE7ACE">
      <w:pPr>
        <w:rPr>
          <w:rFonts w:cstheme="minorHAnsi"/>
          <w:color w:val="58595B"/>
        </w:rPr>
      </w:pPr>
    </w:p>
    <w:p w14:paraId="642DE185" w14:textId="77777777" w:rsidR="00E729B6" w:rsidRPr="00126EFF" w:rsidRDefault="00E729B6" w:rsidP="00E729B6">
      <w:pPr>
        <w:rPr>
          <w:rFonts w:eastAsia="Avenir" w:cstheme="minorHAnsi"/>
          <w:color w:val="58595B"/>
        </w:rPr>
      </w:pPr>
    </w:p>
    <w:p w14:paraId="6559A5B9" w14:textId="559EF8D0" w:rsidR="00BA3AC9" w:rsidRPr="00E86A90" w:rsidRDefault="00BA3AC9" w:rsidP="006F28A9">
      <w:pPr>
        <w:ind w:right="360"/>
        <w:rPr>
          <w:rFonts w:eastAsia="Avenir" w:cstheme="minorHAnsi"/>
          <w:color w:val="58595B"/>
          <w:sz w:val="16"/>
          <w:szCs w:val="16"/>
        </w:rPr>
      </w:pPr>
      <w:r w:rsidRPr="00E86A90">
        <w:rPr>
          <w:rFonts w:eastAsia="Avenir" w:cstheme="minorHAnsi"/>
          <w:color w:val="58595B"/>
          <w:sz w:val="16"/>
          <w:szCs w:val="16"/>
        </w:rPr>
        <w:t xml:space="preserve">This research material was prepared by </w:t>
      </w:r>
      <w:r w:rsidR="00C64F63" w:rsidRPr="00E86A90">
        <w:rPr>
          <w:rFonts w:eastAsia="Avenir" w:cstheme="minorHAnsi"/>
          <w:color w:val="58595B"/>
          <w:sz w:val="16"/>
          <w:szCs w:val="16"/>
        </w:rPr>
        <w:t>Burritt Research, Inc</w:t>
      </w:r>
      <w:r w:rsidRPr="00E86A90">
        <w:rPr>
          <w:rFonts w:eastAsia="Avenir" w:cstheme="minorHAnsi"/>
          <w:color w:val="58595B"/>
          <w:sz w:val="16"/>
          <w:szCs w:val="16"/>
        </w:rPr>
        <w:t>.</w:t>
      </w:r>
    </w:p>
    <w:p w14:paraId="6645C804" w14:textId="77777777" w:rsidR="00FE629C" w:rsidRPr="00E86A90" w:rsidRDefault="00FE629C" w:rsidP="006F28A9">
      <w:pPr>
        <w:ind w:right="360"/>
        <w:rPr>
          <w:rFonts w:eastAsia="Avenir" w:cstheme="minorHAnsi"/>
          <w:color w:val="58595B"/>
          <w:sz w:val="16"/>
          <w:szCs w:val="16"/>
        </w:rPr>
      </w:pPr>
    </w:p>
    <w:p w14:paraId="099737C6" w14:textId="77777777" w:rsidR="00B106D8" w:rsidRPr="00E86A90" w:rsidRDefault="00B106D8" w:rsidP="00B106D8">
      <w:pPr>
        <w:ind w:right="360"/>
        <w:rPr>
          <w:rFonts w:eastAsia="Avenir" w:cstheme="minorHAnsi"/>
          <w:b/>
          <w:color w:val="58595B"/>
          <w:sz w:val="16"/>
          <w:szCs w:val="16"/>
        </w:rPr>
      </w:pPr>
      <w:r w:rsidRPr="00E86A90">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E86A90">
        <w:rPr>
          <w:rFonts w:eastAsia="Avenir" w:cstheme="minorHAnsi"/>
          <w:color w:val="58595B"/>
          <w:sz w:val="16"/>
          <w:szCs w:val="16"/>
        </w:rPr>
        <w:t>meeting</w:t>
      </w:r>
      <w:proofErr w:type="gramEnd"/>
      <w:r w:rsidRPr="00E86A90">
        <w:rPr>
          <w:rFonts w:eastAsia="Avenir" w:cstheme="minorHAnsi"/>
          <w:color w:val="58595B"/>
          <w:sz w:val="16"/>
          <w:szCs w:val="16"/>
        </w:rPr>
        <w:t xml:space="preserve"> the particular investment needs of any investor. </w:t>
      </w:r>
      <w:r w:rsidRPr="00E86A90">
        <w:rPr>
          <w:rFonts w:eastAsia="Avenir" w:cstheme="minorHAnsi"/>
          <w:b/>
          <w:color w:val="58595B"/>
          <w:sz w:val="16"/>
          <w:szCs w:val="16"/>
        </w:rPr>
        <w:t>Past performance does not guarantee future results.</w:t>
      </w:r>
    </w:p>
    <w:p w14:paraId="094364AD" w14:textId="77777777" w:rsidR="00B106D8" w:rsidRPr="00E86A90" w:rsidRDefault="00B106D8" w:rsidP="00B106D8">
      <w:pPr>
        <w:ind w:right="360"/>
        <w:rPr>
          <w:rFonts w:eastAsia="Avenir" w:cstheme="minorHAnsi"/>
          <w:b/>
          <w:color w:val="58595B"/>
          <w:sz w:val="16"/>
          <w:szCs w:val="16"/>
        </w:rPr>
      </w:pPr>
    </w:p>
    <w:p w14:paraId="7979E7BB"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5BAC2C7D" w:rsidR="00B106D8" w:rsidRPr="00E86A90" w:rsidRDefault="00B106D8" w:rsidP="00B106D8">
      <w:pPr>
        <w:ind w:right="360"/>
        <w:rPr>
          <w:rFonts w:eastAsia="Avenir" w:cstheme="minorHAnsi"/>
          <w:color w:val="58595B"/>
          <w:sz w:val="16"/>
          <w:szCs w:val="16"/>
        </w:rPr>
      </w:pPr>
    </w:p>
    <w:p w14:paraId="4AAE2B8F" w14:textId="2DB04373"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E86A90">
        <w:rPr>
          <w:rFonts w:eastAsia="Avenir" w:cstheme="minorHAnsi"/>
          <w:color w:val="58595B"/>
          <w:sz w:val="16"/>
          <w:szCs w:val="16"/>
        </w:rPr>
        <w:t>value weighted</w:t>
      </w:r>
      <w:proofErr w:type="gramEnd"/>
      <w:r w:rsidRPr="00E86A90">
        <w:rPr>
          <w:rFonts w:eastAsia="Avenir" w:cstheme="minorHAnsi"/>
          <w:color w:val="58595B"/>
          <w:sz w:val="16"/>
          <w:szCs w:val="16"/>
        </w:rPr>
        <w:t xml:space="preserve"> index with each stock's weight in the index proportionate to its market value.</w:t>
      </w:r>
    </w:p>
    <w:p w14:paraId="16C9F6E7" w14:textId="77777777" w:rsidR="00B106D8" w:rsidRPr="00E86A90" w:rsidRDefault="00B106D8" w:rsidP="00B106D8">
      <w:pPr>
        <w:ind w:right="360"/>
        <w:rPr>
          <w:rFonts w:eastAsia="Avenir" w:cstheme="minorHAnsi"/>
          <w:color w:val="58595B"/>
          <w:sz w:val="16"/>
          <w:szCs w:val="16"/>
        </w:rPr>
      </w:pPr>
    </w:p>
    <w:p w14:paraId="5D11A940"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E86A90" w:rsidRDefault="00B106D8" w:rsidP="00B106D8">
      <w:pPr>
        <w:ind w:right="360"/>
        <w:rPr>
          <w:rFonts w:eastAsia="Avenir" w:cstheme="minorHAnsi"/>
          <w:color w:val="58595B"/>
          <w:sz w:val="16"/>
          <w:szCs w:val="16"/>
        </w:rPr>
      </w:pPr>
    </w:p>
    <w:p w14:paraId="7A01E923" w14:textId="03889211"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Dow Jones Industrial Average (DJIA) is a price-weighted average of 30 actively traded </w:t>
      </w:r>
      <w:r w:rsidR="00E9719E" w:rsidRPr="00E86A90">
        <w:rPr>
          <w:rFonts w:eastAsia="Avenir" w:cstheme="minorHAnsi"/>
          <w:color w:val="58595B"/>
          <w:sz w:val="16"/>
          <w:szCs w:val="16"/>
        </w:rPr>
        <w:t>"</w:t>
      </w:r>
      <w:r w:rsidRPr="00E86A90">
        <w:rPr>
          <w:rFonts w:eastAsia="Avenir" w:cstheme="minorHAnsi"/>
          <w:color w:val="58595B"/>
          <w:sz w:val="16"/>
          <w:szCs w:val="16"/>
        </w:rPr>
        <w:t>blue chip</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stocks, primarily industrials, but includes </w:t>
      </w:r>
      <w:proofErr w:type="gramStart"/>
      <w:r w:rsidRPr="00E86A90">
        <w:rPr>
          <w:rFonts w:eastAsia="Avenir" w:cstheme="minorHAnsi"/>
          <w:color w:val="58595B"/>
          <w:sz w:val="16"/>
          <w:szCs w:val="16"/>
        </w:rPr>
        <w:t>financials</w:t>
      </w:r>
      <w:proofErr w:type="gramEnd"/>
      <w:r w:rsidRPr="00E86A90">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E86A90" w:rsidRDefault="00B106D8" w:rsidP="00B106D8">
      <w:pPr>
        <w:ind w:right="360"/>
        <w:rPr>
          <w:rFonts w:eastAsia="Avenir" w:cstheme="minorHAnsi"/>
          <w:color w:val="58595B"/>
          <w:sz w:val="16"/>
          <w:szCs w:val="16"/>
        </w:rPr>
      </w:pPr>
    </w:p>
    <w:p w14:paraId="30F1270C" w14:textId="3C13E34A"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E86A90">
        <w:rPr>
          <w:rFonts w:eastAsia="Avenir" w:cstheme="minorHAnsi"/>
          <w:color w:val="58595B"/>
          <w:sz w:val="16"/>
          <w:szCs w:val="16"/>
        </w:rPr>
        <w:t>S</w:t>
      </w:r>
      <w:r w:rsidRPr="00E86A90">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E86A90" w:rsidRDefault="00B106D8" w:rsidP="00B106D8">
      <w:pPr>
        <w:ind w:right="360"/>
        <w:rPr>
          <w:rFonts w:eastAsia="Avenir" w:cstheme="minorHAnsi"/>
          <w:color w:val="58595B"/>
          <w:sz w:val="16"/>
          <w:szCs w:val="16"/>
        </w:rPr>
      </w:pPr>
    </w:p>
    <w:p w14:paraId="2C6F803A" w14:textId="38C12ED9"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short-</w:t>
      </w:r>
      <w:proofErr w:type="gramStart"/>
      <w:r w:rsidRPr="00E86A90">
        <w:rPr>
          <w:rFonts w:eastAsia="Avenir" w:cstheme="minorHAnsi"/>
          <w:color w:val="58595B"/>
          <w:sz w:val="16"/>
          <w:szCs w:val="16"/>
        </w:rPr>
        <w:t>term—</w:t>
      </w:r>
      <w:proofErr w:type="gramEnd"/>
      <w:r w:rsidRPr="00E86A90">
        <w:rPr>
          <w:rFonts w:eastAsia="Avenir" w:cstheme="minorHAnsi"/>
          <w:color w:val="58595B"/>
          <w:sz w:val="16"/>
          <w:szCs w:val="16"/>
        </w:rPr>
        <w:t xml:space="preserve">that is, six-month—outlook for, and sentiment about, the performance of the overall economy as it </w:t>
      </w:r>
      <w:proofErr w:type="gramStart"/>
      <w:r w:rsidRPr="00E86A90">
        <w:rPr>
          <w:rFonts w:eastAsia="Avenir" w:cstheme="minorHAnsi"/>
          <w:color w:val="58595B"/>
          <w:sz w:val="16"/>
          <w:szCs w:val="16"/>
        </w:rPr>
        <w:t>effects</w:t>
      </w:r>
      <w:proofErr w:type="gramEnd"/>
      <w:r w:rsidRPr="00E86A90">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C8469E" w:rsidRDefault="00B106D8" w:rsidP="00B106D8">
      <w:pPr>
        <w:ind w:right="360"/>
        <w:rPr>
          <w:rFonts w:eastAsia="Avenir" w:cstheme="minorHAnsi"/>
          <w:color w:val="58595B"/>
          <w:sz w:val="16"/>
          <w:szCs w:val="16"/>
        </w:rPr>
      </w:pPr>
    </w:p>
    <w:p w14:paraId="4568CBF8" w14:textId="77777777" w:rsidR="00FC7BD6" w:rsidRPr="00C8469E" w:rsidRDefault="00FC7BD6" w:rsidP="00BF0243">
      <w:pPr>
        <w:widowControl/>
        <w:rPr>
          <w:rFonts w:cstheme="minorHAnsi"/>
          <w:color w:val="58595B"/>
          <w:sz w:val="16"/>
          <w:szCs w:val="16"/>
        </w:rPr>
      </w:pPr>
    </w:p>
    <w:p w14:paraId="38BAF61A" w14:textId="77777777" w:rsidR="00FC7BD6" w:rsidRPr="00C8469E" w:rsidRDefault="00FC7BD6" w:rsidP="00BF0243">
      <w:pPr>
        <w:widowControl/>
        <w:rPr>
          <w:rFonts w:cstheme="minorHAnsi"/>
          <w:color w:val="58595B"/>
          <w:sz w:val="16"/>
          <w:szCs w:val="16"/>
        </w:rPr>
      </w:pPr>
    </w:p>
    <w:p w14:paraId="0A6BBA20" w14:textId="77777777" w:rsidR="00FC7BD6" w:rsidRPr="00C8469E" w:rsidRDefault="00FC7BD6" w:rsidP="00BF0243">
      <w:pPr>
        <w:widowControl/>
        <w:rPr>
          <w:rFonts w:cstheme="minorHAnsi"/>
          <w:color w:val="58595B"/>
          <w:sz w:val="16"/>
          <w:szCs w:val="16"/>
        </w:rPr>
      </w:pPr>
    </w:p>
    <w:p w14:paraId="1E5B4CA4" w14:textId="77777777" w:rsidR="00AC2F68" w:rsidRPr="00C8469E" w:rsidRDefault="00AC2F68" w:rsidP="00BF0243">
      <w:pPr>
        <w:widowControl/>
        <w:rPr>
          <w:rFonts w:cstheme="minorHAnsi"/>
          <w:color w:val="58595B"/>
          <w:sz w:val="16"/>
          <w:szCs w:val="16"/>
        </w:rPr>
      </w:pPr>
    </w:p>
    <w:p w14:paraId="79DAF556" w14:textId="77777777" w:rsidR="008C31AD" w:rsidRDefault="008C31AD" w:rsidP="00BF0243">
      <w:pPr>
        <w:widowControl/>
        <w:rPr>
          <w:rFonts w:cstheme="minorHAnsi"/>
          <w:color w:val="58595B"/>
          <w:sz w:val="16"/>
          <w:szCs w:val="16"/>
        </w:rPr>
      </w:pPr>
    </w:p>
    <w:p w14:paraId="04EA093D" w14:textId="77777777" w:rsidR="006A2425" w:rsidRPr="00C8469E" w:rsidRDefault="006A2425"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71F1092D"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A75738">
        <w:rPr>
          <w:rFonts w:cstheme="minorHAnsi"/>
          <w:color w:val="58595B"/>
          <w:sz w:val="16"/>
          <w:szCs w:val="16"/>
        </w:rPr>
        <w:t>6</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  All Rights Reserved.  </w:t>
      </w:r>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8469E">
        <w:rPr>
          <w:rFonts w:eastAsiaTheme="minorEastAsia" w:cstheme="minorHAnsi"/>
          <w:color w:val="58595B"/>
          <w:sz w:val="16"/>
          <w:szCs w:val="16"/>
        </w:rPr>
        <w:t>period of time</w:t>
      </w:r>
      <w:proofErr w:type="gramEnd"/>
      <w:r w:rsidRPr="00C8469E">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5A48130C">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8"/>
      <w:headerReference w:type="default" r:id="rId29"/>
      <w:footerReference w:type="default" r:id="rId30"/>
      <w:headerReference w:type="first" r:id="rId31"/>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5894" w14:textId="77777777" w:rsidR="00093E1B" w:rsidRDefault="00093E1B">
      <w:r>
        <w:separator/>
      </w:r>
    </w:p>
  </w:endnote>
  <w:endnote w:type="continuationSeparator" w:id="0">
    <w:p w14:paraId="6336C8D8" w14:textId="77777777" w:rsidR="00093E1B" w:rsidRDefault="00093E1B">
      <w:r>
        <w:continuationSeparator/>
      </w:r>
    </w:p>
  </w:endnote>
  <w:endnote w:type="continuationNotice" w:id="1">
    <w:p w14:paraId="4338A913" w14:textId="77777777" w:rsidR="00093E1B" w:rsidRDefault="00093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844C" w14:textId="77777777" w:rsidR="00093E1B" w:rsidRDefault="00093E1B">
      <w:r>
        <w:separator/>
      </w:r>
    </w:p>
  </w:footnote>
  <w:footnote w:type="continuationSeparator" w:id="0">
    <w:p w14:paraId="5D227C2F" w14:textId="77777777" w:rsidR="00093E1B" w:rsidRDefault="00093E1B">
      <w:r>
        <w:continuationSeparator/>
      </w:r>
    </w:p>
  </w:footnote>
  <w:footnote w:type="continuationNotice" w:id="1">
    <w:p w14:paraId="03C65A4C" w14:textId="77777777" w:rsidR="00093E1B" w:rsidRDefault="00093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413B9"/>
    <w:rsid w:val="000507C5"/>
    <w:rsid w:val="000536AB"/>
    <w:rsid w:val="00053804"/>
    <w:rsid w:val="00055C2B"/>
    <w:rsid w:val="00056B71"/>
    <w:rsid w:val="00056C5F"/>
    <w:rsid w:val="0006031A"/>
    <w:rsid w:val="00060559"/>
    <w:rsid w:val="00060862"/>
    <w:rsid w:val="0006119B"/>
    <w:rsid w:val="00061AE7"/>
    <w:rsid w:val="000719FE"/>
    <w:rsid w:val="00074E6F"/>
    <w:rsid w:val="00075B30"/>
    <w:rsid w:val="000762FC"/>
    <w:rsid w:val="0008061F"/>
    <w:rsid w:val="00081994"/>
    <w:rsid w:val="00084965"/>
    <w:rsid w:val="00085051"/>
    <w:rsid w:val="00085537"/>
    <w:rsid w:val="00093E1B"/>
    <w:rsid w:val="00095231"/>
    <w:rsid w:val="00097D96"/>
    <w:rsid w:val="000A2F3C"/>
    <w:rsid w:val="000A693A"/>
    <w:rsid w:val="000A7B71"/>
    <w:rsid w:val="000B3FB0"/>
    <w:rsid w:val="000C1420"/>
    <w:rsid w:val="000C2111"/>
    <w:rsid w:val="000C4725"/>
    <w:rsid w:val="000C4E11"/>
    <w:rsid w:val="000C77BD"/>
    <w:rsid w:val="000D2FFB"/>
    <w:rsid w:val="000D3EB7"/>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B2A32"/>
    <w:rsid w:val="001C0EE6"/>
    <w:rsid w:val="001C2F89"/>
    <w:rsid w:val="001C3947"/>
    <w:rsid w:val="001C4696"/>
    <w:rsid w:val="001C4960"/>
    <w:rsid w:val="001C50E7"/>
    <w:rsid w:val="001D1332"/>
    <w:rsid w:val="001D359E"/>
    <w:rsid w:val="001D37EA"/>
    <w:rsid w:val="001D424B"/>
    <w:rsid w:val="001E031D"/>
    <w:rsid w:val="001E1889"/>
    <w:rsid w:val="001E3219"/>
    <w:rsid w:val="001E5301"/>
    <w:rsid w:val="001E59AF"/>
    <w:rsid w:val="001F05F8"/>
    <w:rsid w:val="001F519C"/>
    <w:rsid w:val="001F7D9E"/>
    <w:rsid w:val="002043A1"/>
    <w:rsid w:val="00206D28"/>
    <w:rsid w:val="00211CF4"/>
    <w:rsid w:val="00211D5C"/>
    <w:rsid w:val="00213FC5"/>
    <w:rsid w:val="00215E29"/>
    <w:rsid w:val="002161F9"/>
    <w:rsid w:val="00220A5E"/>
    <w:rsid w:val="002219E6"/>
    <w:rsid w:val="00223068"/>
    <w:rsid w:val="002263BA"/>
    <w:rsid w:val="0023185E"/>
    <w:rsid w:val="002320E6"/>
    <w:rsid w:val="00233CBB"/>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76CCB"/>
    <w:rsid w:val="00280765"/>
    <w:rsid w:val="00280C61"/>
    <w:rsid w:val="002858FB"/>
    <w:rsid w:val="00286212"/>
    <w:rsid w:val="0029529F"/>
    <w:rsid w:val="002A38CA"/>
    <w:rsid w:val="002A436A"/>
    <w:rsid w:val="002A4821"/>
    <w:rsid w:val="002A4D21"/>
    <w:rsid w:val="002B07E7"/>
    <w:rsid w:val="002B27C8"/>
    <w:rsid w:val="002B2F91"/>
    <w:rsid w:val="002B3E10"/>
    <w:rsid w:val="002C01C4"/>
    <w:rsid w:val="002C0E8C"/>
    <w:rsid w:val="002C2526"/>
    <w:rsid w:val="002C3302"/>
    <w:rsid w:val="002C5401"/>
    <w:rsid w:val="002C648F"/>
    <w:rsid w:val="002D2361"/>
    <w:rsid w:val="002D2ABD"/>
    <w:rsid w:val="002D64A9"/>
    <w:rsid w:val="002E3928"/>
    <w:rsid w:val="002F2A80"/>
    <w:rsid w:val="002F35A7"/>
    <w:rsid w:val="002F681A"/>
    <w:rsid w:val="002F7E04"/>
    <w:rsid w:val="00300681"/>
    <w:rsid w:val="00301338"/>
    <w:rsid w:val="003028C3"/>
    <w:rsid w:val="00303E34"/>
    <w:rsid w:val="003044A4"/>
    <w:rsid w:val="003047D1"/>
    <w:rsid w:val="0030559E"/>
    <w:rsid w:val="00305BFE"/>
    <w:rsid w:val="00305F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53C16"/>
    <w:rsid w:val="00366F01"/>
    <w:rsid w:val="00373420"/>
    <w:rsid w:val="003737D4"/>
    <w:rsid w:val="003739E6"/>
    <w:rsid w:val="00374837"/>
    <w:rsid w:val="003758DC"/>
    <w:rsid w:val="00377EE1"/>
    <w:rsid w:val="00381561"/>
    <w:rsid w:val="0038183B"/>
    <w:rsid w:val="00384380"/>
    <w:rsid w:val="00387007"/>
    <w:rsid w:val="00390789"/>
    <w:rsid w:val="00393E6A"/>
    <w:rsid w:val="003958D3"/>
    <w:rsid w:val="00395F67"/>
    <w:rsid w:val="00396F47"/>
    <w:rsid w:val="003A021A"/>
    <w:rsid w:val="003A0958"/>
    <w:rsid w:val="003A7A3C"/>
    <w:rsid w:val="003B0255"/>
    <w:rsid w:val="003B3649"/>
    <w:rsid w:val="003B44B8"/>
    <w:rsid w:val="003B4CF3"/>
    <w:rsid w:val="003B6D62"/>
    <w:rsid w:val="003B7124"/>
    <w:rsid w:val="003B727B"/>
    <w:rsid w:val="003B730E"/>
    <w:rsid w:val="003B7896"/>
    <w:rsid w:val="003C0140"/>
    <w:rsid w:val="003C0245"/>
    <w:rsid w:val="003C092C"/>
    <w:rsid w:val="003C52DD"/>
    <w:rsid w:val="003C566E"/>
    <w:rsid w:val="003C6216"/>
    <w:rsid w:val="003C70C1"/>
    <w:rsid w:val="003C7B91"/>
    <w:rsid w:val="003D13A4"/>
    <w:rsid w:val="003D158A"/>
    <w:rsid w:val="003D725D"/>
    <w:rsid w:val="003E2206"/>
    <w:rsid w:val="003E43C9"/>
    <w:rsid w:val="003E4BD4"/>
    <w:rsid w:val="003E63FE"/>
    <w:rsid w:val="003E7DE5"/>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3DA7"/>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35EE9"/>
    <w:rsid w:val="0054458C"/>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76510"/>
    <w:rsid w:val="00584BAA"/>
    <w:rsid w:val="00593260"/>
    <w:rsid w:val="00593C4C"/>
    <w:rsid w:val="005971D3"/>
    <w:rsid w:val="00597589"/>
    <w:rsid w:val="005A0C0D"/>
    <w:rsid w:val="005A213E"/>
    <w:rsid w:val="005A25DD"/>
    <w:rsid w:val="005A2D15"/>
    <w:rsid w:val="005A30D7"/>
    <w:rsid w:val="005A4790"/>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2405"/>
    <w:rsid w:val="005D3947"/>
    <w:rsid w:val="005D50CF"/>
    <w:rsid w:val="005D5662"/>
    <w:rsid w:val="005D7902"/>
    <w:rsid w:val="005E0EB9"/>
    <w:rsid w:val="005E2E0D"/>
    <w:rsid w:val="005E4B02"/>
    <w:rsid w:val="005E5936"/>
    <w:rsid w:val="005E7F47"/>
    <w:rsid w:val="005F0D6B"/>
    <w:rsid w:val="005F1B03"/>
    <w:rsid w:val="00602F86"/>
    <w:rsid w:val="0060375A"/>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A2425"/>
    <w:rsid w:val="006B2F77"/>
    <w:rsid w:val="006B76C3"/>
    <w:rsid w:val="006C1374"/>
    <w:rsid w:val="006C2183"/>
    <w:rsid w:val="006D0717"/>
    <w:rsid w:val="006D3705"/>
    <w:rsid w:val="006D6D46"/>
    <w:rsid w:val="006E1C96"/>
    <w:rsid w:val="006E3E4B"/>
    <w:rsid w:val="006E51E1"/>
    <w:rsid w:val="006E5CA8"/>
    <w:rsid w:val="006E779D"/>
    <w:rsid w:val="006F28A9"/>
    <w:rsid w:val="006F3418"/>
    <w:rsid w:val="006F45C0"/>
    <w:rsid w:val="006F7759"/>
    <w:rsid w:val="006F7F43"/>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039"/>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B7D63"/>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C98"/>
    <w:rsid w:val="007E4E13"/>
    <w:rsid w:val="007E55DD"/>
    <w:rsid w:val="007F10EF"/>
    <w:rsid w:val="007F4DAC"/>
    <w:rsid w:val="007F669A"/>
    <w:rsid w:val="007F7717"/>
    <w:rsid w:val="0080555E"/>
    <w:rsid w:val="00805E10"/>
    <w:rsid w:val="008062B1"/>
    <w:rsid w:val="00806F76"/>
    <w:rsid w:val="00807A2D"/>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716E"/>
    <w:rsid w:val="008D1AC2"/>
    <w:rsid w:val="008D35C8"/>
    <w:rsid w:val="008D5D78"/>
    <w:rsid w:val="008D741D"/>
    <w:rsid w:val="008D7593"/>
    <w:rsid w:val="008E01C4"/>
    <w:rsid w:val="008E056D"/>
    <w:rsid w:val="008E5BC6"/>
    <w:rsid w:val="008E5DE9"/>
    <w:rsid w:val="008F081A"/>
    <w:rsid w:val="008F12F3"/>
    <w:rsid w:val="008F5D7B"/>
    <w:rsid w:val="0090011F"/>
    <w:rsid w:val="00900651"/>
    <w:rsid w:val="009015F6"/>
    <w:rsid w:val="0090192B"/>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356BE"/>
    <w:rsid w:val="0094135E"/>
    <w:rsid w:val="00941B78"/>
    <w:rsid w:val="009421C4"/>
    <w:rsid w:val="00943DCD"/>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B02"/>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A6949"/>
    <w:rsid w:val="009B1563"/>
    <w:rsid w:val="009B4639"/>
    <w:rsid w:val="009B4976"/>
    <w:rsid w:val="009B4B9D"/>
    <w:rsid w:val="009B54A0"/>
    <w:rsid w:val="009B7188"/>
    <w:rsid w:val="009C5A20"/>
    <w:rsid w:val="009D0EF3"/>
    <w:rsid w:val="009D46CC"/>
    <w:rsid w:val="009E114D"/>
    <w:rsid w:val="009E274F"/>
    <w:rsid w:val="009F1391"/>
    <w:rsid w:val="009F19DF"/>
    <w:rsid w:val="009F2929"/>
    <w:rsid w:val="009F4F1D"/>
    <w:rsid w:val="009F70BD"/>
    <w:rsid w:val="00A00DE7"/>
    <w:rsid w:val="00A010D1"/>
    <w:rsid w:val="00A049E2"/>
    <w:rsid w:val="00A04C54"/>
    <w:rsid w:val="00A05DEE"/>
    <w:rsid w:val="00A11F92"/>
    <w:rsid w:val="00A1218C"/>
    <w:rsid w:val="00A22F75"/>
    <w:rsid w:val="00A26AC3"/>
    <w:rsid w:val="00A31B84"/>
    <w:rsid w:val="00A3398B"/>
    <w:rsid w:val="00A37CFE"/>
    <w:rsid w:val="00A40946"/>
    <w:rsid w:val="00A42F7D"/>
    <w:rsid w:val="00A46DE6"/>
    <w:rsid w:val="00A5513B"/>
    <w:rsid w:val="00A5537B"/>
    <w:rsid w:val="00A56914"/>
    <w:rsid w:val="00A613CC"/>
    <w:rsid w:val="00A621BC"/>
    <w:rsid w:val="00A65456"/>
    <w:rsid w:val="00A6691B"/>
    <w:rsid w:val="00A754E7"/>
    <w:rsid w:val="00A75738"/>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24DD"/>
    <w:rsid w:val="00AD571B"/>
    <w:rsid w:val="00AD5B9F"/>
    <w:rsid w:val="00AD5FF3"/>
    <w:rsid w:val="00AD6482"/>
    <w:rsid w:val="00AE050B"/>
    <w:rsid w:val="00AE355A"/>
    <w:rsid w:val="00AE4730"/>
    <w:rsid w:val="00AE5933"/>
    <w:rsid w:val="00AF1C6B"/>
    <w:rsid w:val="00AF4F9B"/>
    <w:rsid w:val="00AF6165"/>
    <w:rsid w:val="00AF73E9"/>
    <w:rsid w:val="00B008BF"/>
    <w:rsid w:val="00B010F5"/>
    <w:rsid w:val="00B04E79"/>
    <w:rsid w:val="00B106D8"/>
    <w:rsid w:val="00B1237F"/>
    <w:rsid w:val="00B14A3F"/>
    <w:rsid w:val="00B21DF7"/>
    <w:rsid w:val="00B22DBF"/>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3E51"/>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7ACE"/>
    <w:rsid w:val="00BE7FC6"/>
    <w:rsid w:val="00BF0243"/>
    <w:rsid w:val="00BF19D8"/>
    <w:rsid w:val="00BF1AAE"/>
    <w:rsid w:val="00BF2195"/>
    <w:rsid w:val="00BF300F"/>
    <w:rsid w:val="00BF5C01"/>
    <w:rsid w:val="00BF64AD"/>
    <w:rsid w:val="00C01FC8"/>
    <w:rsid w:val="00C02A9E"/>
    <w:rsid w:val="00C033C8"/>
    <w:rsid w:val="00C03AB7"/>
    <w:rsid w:val="00C03FF2"/>
    <w:rsid w:val="00C04E70"/>
    <w:rsid w:val="00C05BC2"/>
    <w:rsid w:val="00C10313"/>
    <w:rsid w:val="00C1181C"/>
    <w:rsid w:val="00C13384"/>
    <w:rsid w:val="00C13591"/>
    <w:rsid w:val="00C1403A"/>
    <w:rsid w:val="00C14B5D"/>
    <w:rsid w:val="00C16713"/>
    <w:rsid w:val="00C1768F"/>
    <w:rsid w:val="00C20A12"/>
    <w:rsid w:val="00C20D43"/>
    <w:rsid w:val="00C21098"/>
    <w:rsid w:val="00C210C1"/>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CEB"/>
    <w:rsid w:val="00C71FF6"/>
    <w:rsid w:val="00C73E8A"/>
    <w:rsid w:val="00C77191"/>
    <w:rsid w:val="00C81BA7"/>
    <w:rsid w:val="00C83CC2"/>
    <w:rsid w:val="00C8469E"/>
    <w:rsid w:val="00C85FF6"/>
    <w:rsid w:val="00C87564"/>
    <w:rsid w:val="00C907B1"/>
    <w:rsid w:val="00CA10C2"/>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9E0"/>
    <w:rsid w:val="00CE60C6"/>
    <w:rsid w:val="00CE62F7"/>
    <w:rsid w:val="00CE7DF2"/>
    <w:rsid w:val="00CF00E3"/>
    <w:rsid w:val="00CF093E"/>
    <w:rsid w:val="00CF1602"/>
    <w:rsid w:val="00CF1B81"/>
    <w:rsid w:val="00CF1BAA"/>
    <w:rsid w:val="00CF34E8"/>
    <w:rsid w:val="00D00879"/>
    <w:rsid w:val="00D02209"/>
    <w:rsid w:val="00D0261F"/>
    <w:rsid w:val="00D034B7"/>
    <w:rsid w:val="00D05DF5"/>
    <w:rsid w:val="00D14185"/>
    <w:rsid w:val="00D15709"/>
    <w:rsid w:val="00D15F4E"/>
    <w:rsid w:val="00D17439"/>
    <w:rsid w:val="00D22917"/>
    <w:rsid w:val="00D26F72"/>
    <w:rsid w:val="00D30449"/>
    <w:rsid w:val="00D32EFB"/>
    <w:rsid w:val="00D360C5"/>
    <w:rsid w:val="00D409A8"/>
    <w:rsid w:val="00D42564"/>
    <w:rsid w:val="00D42D9A"/>
    <w:rsid w:val="00D50A92"/>
    <w:rsid w:val="00D51366"/>
    <w:rsid w:val="00D55894"/>
    <w:rsid w:val="00D55D70"/>
    <w:rsid w:val="00D5610D"/>
    <w:rsid w:val="00D561CB"/>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ABB"/>
    <w:rsid w:val="00DB4F20"/>
    <w:rsid w:val="00DB4FE6"/>
    <w:rsid w:val="00DB66E1"/>
    <w:rsid w:val="00DC061F"/>
    <w:rsid w:val="00DC39C5"/>
    <w:rsid w:val="00DC3EF3"/>
    <w:rsid w:val="00DC493E"/>
    <w:rsid w:val="00DC5AC8"/>
    <w:rsid w:val="00DC63C0"/>
    <w:rsid w:val="00DC70D3"/>
    <w:rsid w:val="00DD3659"/>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688E"/>
    <w:rsid w:val="00E17B6F"/>
    <w:rsid w:val="00E22E74"/>
    <w:rsid w:val="00E249E2"/>
    <w:rsid w:val="00E25950"/>
    <w:rsid w:val="00E30DB4"/>
    <w:rsid w:val="00E3118A"/>
    <w:rsid w:val="00E361B6"/>
    <w:rsid w:val="00E365C0"/>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4152"/>
    <w:rsid w:val="00E761F7"/>
    <w:rsid w:val="00E76A5C"/>
    <w:rsid w:val="00E8223C"/>
    <w:rsid w:val="00E829DC"/>
    <w:rsid w:val="00E82D3C"/>
    <w:rsid w:val="00E83506"/>
    <w:rsid w:val="00E83E8F"/>
    <w:rsid w:val="00E85CF7"/>
    <w:rsid w:val="00E86A90"/>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F1341"/>
    <w:rsid w:val="00EF26B3"/>
    <w:rsid w:val="00EF3A04"/>
    <w:rsid w:val="00EF421D"/>
    <w:rsid w:val="00EF4FDE"/>
    <w:rsid w:val="00F054CE"/>
    <w:rsid w:val="00F05EB3"/>
    <w:rsid w:val="00F12C03"/>
    <w:rsid w:val="00F1553D"/>
    <w:rsid w:val="00F16554"/>
    <w:rsid w:val="00F201A1"/>
    <w:rsid w:val="00F20C2D"/>
    <w:rsid w:val="00F21AFE"/>
    <w:rsid w:val="00F236B2"/>
    <w:rsid w:val="00F25A3F"/>
    <w:rsid w:val="00F27917"/>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7FE"/>
    <w:rsid w:val="00F94B31"/>
    <w:rsid w:val="00F96FDC"/>
    <w:rsid w:val="00F979F9"/>
    <w:rsid w:val="00FA27FD"/>
    <w:rsid w:val="00FA2943"/>
    <w:rsid w:val="00FA57CE"/>
    <w:rsid w:val="00FA616C"/>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4"/>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4"/>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apnews.com/article/consumer-confidence-economy-spending-inflation-conference-board-f36b997dc46ac9c3577d05db52166846" TargetMode="External"/><Relationship Id="rId3" Type="http://schemas.openxmlformats.org/officeDocument/2006/relationships/customXml" Target="../customXml/item3.xml"/><Relationship Id="rId21" Type="http://schemas.openxmlformats.org/officeDocument/2006/relationships/hyperlink" Target="https://www.cnbc.com/2026/01/22/pce-inflation-november-2026.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onference-board.org/topics/consumer-confide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r.realtor/newsroom/nar-existing-home-sales-report-shows-5-1-increase-in-decemb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nbc.com/2026/01/14/existing-home-sales-end-2025-stronger-than-expected.html" TargetMode="External"/><Relationship Id="rId28" Type="http://schemas.openxmlformats.org/officeDocument/2006/relationships/header" Target="header4.xm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ea.gov/news/2026/personal-income-and-outlays-october-and-november-2025" TargetMode="External"/><Relationship Id="rId27" Type="http://schemas.openxmlformats.org/officeDocument/2006/relationships/image" Target="media/image3.png"/><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75616104657adf65ba4d3a6b46572597">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916ea73b19eb922aeab26123b2bbeb27"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FB6BCD0E-FD1E-4B08-9B22-3CD488E8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1581</Words>
  <Characters>8462</Characters>
  <Application>Microsoft Office Word</Application>
  <DocSecurity>0</DocSecurity>
  <Lines>136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92</cp:revision>
  <cp:lastPrinted>2026-02-03T19:17:00Z</cp:lastPrinted>
  <dcterms:created xsi:type="dcterms:W3CDTF">2025-10-01T19:14:00Z</dcterms:created>
  <dcterms:modified xsi:type="dcterms:W3CDTF">2026-02-03T19:38:00Z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