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54D758"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471EE464" w14:textId="77777777" w:rsidR="001478E9" w:rsidRDefault="001478E9" w:rsidP="0086174A">
      <w:pPr>
        <w:rPr>
          <w:rFonts w:cstheme="minorHAnsi"/>
          <w:b/>
          <w:color w:val="005EA4"/>
          <w:sz w:val="28"/>
          <w:szCs w:val="28"/>
        </w:rPr>
      </w:pPr>
    </w:p>
    <w:p w14:paraId="11E6735C" w14:textId="3BF1995C" w:rsidR="00730139" w:rsidRPr="000A77AA" w:rsidRDefault="00515467" w:rsidP="0086174A">
      <w:pPr>
        <w:ind w:firstLine="720"/>
        <w:rPr>
          <w:rFonts w:cstheme="minorHAnsi"/>
          <w:color w:val="58595B"/>
          <w:spacing w:val="-5"/>
          <w:sz w:val="20"/>
          <w:szCs w:val="20"/>
        </w:rPr>
      </w:pPr>
      <w:bookmarkStart w:id="0" w:name="_Hlk115849168"/>
      <w:bookmarkEnd w:id="0"/>
      <w:r>
        <w:rPr>
          <w:rFonts w:cstheme="minorHAnsi"/>
          <w:b/>
          <w:color w:val="005EA4"/>
          <w:sz w:val="28"/>
          <w:szCs w:val="28"/>
        </w:rPr>
        <w:t>First</w:t>
      </w:r>
      <w:r w:rsidR="00A35BBB">
        <w:rPr>
          <w:rFonts w:cstheme="minorHAnsi"/>
          <w:b/>
          <w:color w:val="005EA4"/>
          <w:sz w:val="28"/>
          <w:szCs w:val="28"/>
        </w:rPr>
        <w:t xml:space="preserve"> </w:t>
      </w:r>
      <w:r w:rsidR="00A35BBB" w:rsidRPr="000A77AA">
        <w:rPr>
          <w:rFonts w:cstheme="minorHAnsi"/>
          <w:b/>
          <w:color w:val="005EA4"/>
          <w:sz w:val="28"/>
          <w:szCs w:val="28"/>
        </w:rPr>
        <w:t>Quarter 202</w:t>
      </w:r>
      <w:r>
        <w:rPr>
          <w:rFonts w:cstheme="minorHAnsi"/>
          <w:b/>
          <w:color w:val="005EA4"/>
          <w:sz w:val="28"/>
          <w:szCs w:val="28"/>
        </w:rPr>
        <w:t>6</w:t>
      </w:r>
      <w:r w:rsidR="00A35BBB">
        <w:rPr>
          <w:rFonts w:cstheme="minorHAnsi"/>
          <w:b/>
          <w:color w:val="005EA4"/>
          <w:sz w:val="28"/>
          <w:szCs w:val="28"/>
        </w:rPr>
        <w:t>:</w:t>
      </w:r>
      <w:r w:rsidR="00A35BBB" w:rsidRPr="000A77AA">
        <w:rPr>
          <w:rFonts w:cstheme="minorHAnsi"/>
          <w:b/>
          <w:color w:val="005EA4"/>
          <w:sz w:val="28"/>
          <w:szCs w:val="28"/>
        </w:rPr>
        <w:t xml:space="preserve"> Quarterly 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586D2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DD0FA33"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rsidSect="00586D21">
          <w:type w:val="continuous"/>
          <w:pgSz w:w="12240" w:h="15840"/>
          <w:pgMar w:top="0" w:right="0" w:bottom="0" w:left="0" w:header="720" w:footer="720" w:gutter="0"/>
          <w:cols w:space="720"/>
        </w:sectPr>
      </w:pPr>
    </w:p>
    <w:p w14:paraId="59587086" w14:textId="77777777" w:rsidR="001478E9" w:rsidRDefault="001478E9" w:rsidP="001478E9">
      <w:pPr>
        <w:pStyle w:val="font-claude-response-body"/>
        <w:spacing w:before="0" w:beforeAutospacing="0" w:after="0" w:afterAutospacing="0"/>
        <w:rPr>
          <w:rFonts w:asciiTheme="minorHAnsi" w:hAnsiTheme="minorHAnsi" w:cstheme="minorBidi"/>
          <w:sz w:val="20"/>
          <w:szCs w:val="20"/>
        </w:rPr>
      </w:pPr>
    </w:p>
    <w:p w14:paraId="7C2420DF" w14:textId="73D1F95E" w:rsidR="00F96352" w:rsidRPr="004A1AAF" w:rsidRDefault="00F96352" w:rsidP="001478E9">
      <w:pPr>
        <w:pStyle w:val="font-claude-response-body"/>
        <w:spacing w:before="0" w:beforeAutospacing="0" w:after="0" w:afterAutospacing="0"/>
        <w:rPr>
          <w:rFonts w:asciiTheme="minorHAnsi" w:hAnsiTheme="minorHAnsi" w:cstheme="minorBidi"/>
          <w:color w:val="58595B"/>
          <w:sz w:val="20"/>
          <w:szCs w:val="20"/>
        </w:rPr>
      </w:pPr>
      <w:r w:rsidRPr="004A1AAF">
        <w:rPr>
          <w:rFonts w:asciiTheme="minorHAnsi" w:hAnsiTheme="minorHAnsi" w:cstheme="minorBidi"/>
          <w:color w:val="58595B"/>
          <w:sz w:val="20"/>
          <w:szCs w:val="20"/>
        </w:rPr>
        <w:t xml:space="preserve">We entered the first quarter on a bullish note, with the S&amp;P 500 up 1.4% for January, nearly 19% annualized, and marking the ninth straight month of gains.  Foreign equity markets performed even better, with developed international markets up more than 5% for the month and emerging markets up almost 9% for the month.  Despite continued high valuations, a “Goldilocks” narrative was taking hold – growth still resilient, inflation coming down but not fully beaten, labor market cooling but not cracking – not too hot, not too cold, but just right. </w:t>
      </w:r>
    </w:p>
    <w:p w14:paraId="3B9C3CB7" w14:textId="77777777" w:rsidR="001478E9" w:rsidRPr="004A1AAF" w:rsidRDefault="001478E9" w:rsidP="001478E9">
      <w:pPr>
        <w:pStyle w:val="font-claude-response-body"/>
        <w:spacing w:before="0" w:beforeAutospacing="0" w:after="0" w:afterAutospacing="0"/>
        <w:rPr>
          <w:rFonts w:asciiTheme="minorHAnsi" w:hAnsiTheme="minorHAnsi" w:cstheme="minorBidi"/>
          <w:color w:val="58595B"/>
          <w:sz w:val="20"/>
          <w:szCs w:val="20"/>
        </w:rPr>
      </w:pPr>
    </w:p>
    <w:p w14:paraId="110E0BAB" w14:textId="77777777" w:rsidR="00F96352" w:rsidRPr="004A1AAF" w:rsidRDefault="00F96352" w:rsidP="001478E9">
      <w:pPr>
        <w:pStyle w:val="font-claude-response-body"/>
        <w:spacing w:before="0" w:beforeAutospacing="0" w:after="0" w:afterAutospacing="0"/>
        <w:rPr>
          <w:rFonts w:asciiTheme="minorHAnsi" w:hAnsiTheme="minorHAnsi" w:cstheme="minorBidi"/>
          <w:color w:val="58595B"/>
          <w:sz w:val="20"/>
          <w:szCs w:val="20"/>
        </w:rPr>
      </w:pPr>
      <w:r w:rsidRPr="004A1AAF">
        <w:rPr>
          <w:rFonts w:asciiTheme="minorHAnsi" w:hAnsiTheme="minorHAnsi" w:cstheme="minorBidi"/>
          <w:color w:val="58595B"/>
          <w:sz w:val="20"/>
          <w:szCs w:val="20"/>
        </w:rPr>
        <w:t>In February, markets began to worry that inflation was not falling fast enough and that anticipated rate cuts would be delayed, while the AI narrative was evolving from euphoria to scrutiny.  The S&amp;P500 was down 0.8% for the month, while foreign markets continued to rise strongly, with developed markets rising another 4.6% and emerging markets rising 5.5%.  The global bull market was still intact, and leadership continued to broaden beyond the U.S.</w:t>
      </w:r>
    </w:p>
    <w:p w14:paraId="5EEC338D" w14:textId="77777777" w:rsidR="001478E9" w:rsidRPr="004A1AAF" w:rsidRDefault="001478E9" w:rsidP="001478E9">
      <w:pPr>
        <w:pStyle w:val="font-claude-response-body"/>
        <w:spacing w:before="0" w:beforeAutospacing="0" w:after="0" w:afterAutospacing="0"/>
        <w:rPr>
          <w:rFonts w:asciiTheme="minorHAnsi" w:hAnsiTheme="minorHAnsi" w:cstheme="minorBidi"/>
          <w:color w:val="58595B"/>
          <w:sz w:val="20"/>
          <w:szCs w:val="20"/>
        </w:rPr>
      </w:pPr>
    </w:p>
    <w:p w14:paraId="62E24DF3" w14:textId="77777777" w:rsidR="00F96352" w:rsidRPr="004A1AAF" w:rsidRDefault="00F96352" w:rsidP="001478E9">
      <w:pPr>
        <w:pStyle w:val="font-claude-response-body"/>
        <w:spacing w:before="0" w:beforeAutospacing="0" w:after="0" w:afterAutospacing="0"/>
        <w:rPr>
          <w:rFonts w:asciiTheme="minorHAnsi" w:hAnsiTheme="minorHAnsi" w:cstheme="minorBidi"/>
          <w:color w:val="58595B"/>
          <w:sz w:val="20"/>
          <w:szCs w:val="20"/>
        </w:rPr>
      </w:pPr>
      <w:r w:rsidRPr="004A1AAF">
        <w:rPr>
          <w:rFonts w:asciiTheme="minorHAnsi" w:hAnsiTheme="minorHAnsi" w:cstheme="minorBidi"/>
          <w:color w:val="58595B"/>
          <w:sz w:val="20"/>
          <w:szCs w:val="20"/>
        </w:rPr>
        <w:t xml:space="preserve">All this changed with the U.S./Israeli attack on Iran. The U.S and Israel dominated the skies, and Iran was beaten but unbowed.  Iran closed the Strait of Hormuz, a chokepoint for 20% of the world’s oil supply.  Oil prices skyrocketed with Brent crude spiking to almost $120 per barrel. </w:t>
      </w:r>
      <w:proofErr w:type="gramStart"/>
      <w:r w:rsidRPr="004A1AAF">
        <w:rPr>
          <w:rFonts w:asciiTheme="minorHAnsi" w:hAnsiTheme="minorHAnsi" w:cstheme="minorBidi"/>
          <w:color w:val="58595B"/>
          <w:sz w:val="20"/>
          <w:szCs w:val="20"/>
        </w:rPr>
        <w:t>Yields</w:t>
      </w:r>
      <w:proofErr w:type="gramEnd"/>
      <w:r w:rsidRPr="004A1AAF">
        <w:rPr>
          <w:rFonts w:asciiTheme="minorHAnsi" w:hAnsiTheme="minorHAnsi" w:cstheme="minorBidi"/>
          <w:color w:val="58595B"/>
          <w:sz w:val="20"/>
          <w:szCs w:val="20"/>
        </w:rPr>
        <w:t xml:space="preserve"> rose across the Treasury yield curve from two to ten-year maturities by about 0.40%.  Mortgage rates rose by more than 0.50%.  The S&amp;P 500 fell by 5% while international and emerging markets fell by 10.2% and 13.0% respectively.  </w:t>
      </w:r>
    </w:p>
    <w:p w14:paraId="784E6B46" w14:textId="77777777" w:rsidR="001478E9" w:rsidRPr="004A1AAF" w:rsidRDefault="001478E9" w:rsidP="001478E9">
      <w:pPr>
        <w:pStyle w:val="font-claude-response-body"/>
        <w:spacing w:before="0" w:beforeAutospacing="0" w:after="0" w:afterAutospacing="0"/>
        <w:rPr>
          <w:rFonts w:asciiTheme="minorHAnsi" w:hAnsiTheme="minorHAnsi" w:cstheme="minorBidi"/>
          <w:color w:val="58595B"/>
          <w:sz w:val="20"/>
          <w:szCs w:val="20"/>
        </w:rPr>
      </w:pPr>
    </w:p>
    <w:p w14:paraId="1ED55146" w14:textId="77777777" w:rsidR="00F96352" w:rsidRPr="004A1AAF" w:rsidRDefault="00F96352" w:rsidP="001478E9">
      <w:pPr>
        <w:pStyle w:val="font-claude-response-body"/>
        <w:spacing w:before="0" w:beforeAutospacing="0" w:after="0" w:afterAutospacing="0"/>
        <w:rPr>
          <w:rFonts w:asciiTheme="minorHAnsi" w:hAnsiTheme="minorHAnsi" w:cstheme="minorBidi"/>
          <w:color w:val="58595B"/>
          <w:sz w:val="20"/>
          <w:szCs w:val="20"/>
        </w:rPr>
      </w:pPr>
      <w:r w:rsidRPr="004A1AAF">
        <w:rPr>
          <w:rFonts w:asciiTheme="minorHAnsi" w:hAnsiTheme="minorHAnsi" w:cstheme="minorBidi"/>
          <w:color w:val="58595B"/>
          <w:sz w:val="20"/>
          <w:szCs w:val="20"/>
        </w:rPr>
        <w:t>Why?  Rates rose because fears of inflation from the oil price spike outweighed the concerns that high oil prices would cause a recession.  Stock prices fell amid higher oil prices and interest rates, which negatively impacted earnings, and higher yields, which reduced the present value of future earnings.  Foreign markets were hit harder than the U.S. because foreign economies are much more dependent on Persian Gulf oil than the U.S.  While the U.S. is a net exporter of petroleum products, we still import crude oil because our refineries are optimized for heavier crude blends that are produced outside the U.S.</w:t>
      </w:r>
    </w:p>
    <w:p w14:paraId="1DD54FB9" w14:textId="77777777" w:rsidR="001478E9" w:rsidRPr="004A1AAF" w:rsidRDefault="001478E9" w:rsidP="001478E9">
      <w:pPr>
        <w:pStyle w:val="font-claude-response-body"/>
        <w:spacing w:before="0" w:beforeAutospacing="0" w:after="0" w:afterAutospacing="0"/>
        <w:rPr>
          <w:rFonts w:asciiTheme="minorHAnsi" w:hAnsiTheme="minorHAnsi" w:cstheme="minorBidi"/>
          <w:color w:val="58595B"/>
          <w:sz w:val="20"/>
          <w:szCs w:val="20"/>
        </w:rPr>
      </w:pPr>
    </w:p>
    <w:p w14:paraId="789BB6C7" w14:textId="1AF2583C" w:rsidR="00F96352" w:rsidRPr="004A1AAF" w:rsidRDefault="00F96352" w:rsidP="001478E9">
      <w:pPr>
        <w:pStyle w:val="font-claude-response-body"/>
        <w:spacing w:before="0" w:beforeAutospacing="0" w:after="0" w:afterAutospacing="0"/>
        <w:rPr>
          <w:rFonts w:asciiTheme="minorHAnsi" w:hAnsiTheme="minorHAnsi" w:cstheme="minorBidi"/>
          <w:color w:val="58595B"/>
          <w:sz w:val="20"/>
          <w:szCs w:val="20"/>
        </w:rPr>
      </w:pPr>
      <w:r w:rsidRPr="004A1AAF">
        <w:rPr>
          <w:rFonts w:asciiTheme="minorHAnsi" w:hAnsiTheme="minorHAnsi" w:cstheme="minorBidi"/>
          <w:color w:val="58595B"/>
          <w:sz w:val="20"/>
          <w:szCs w:val="20"/>
        </w:rPr>
        <w:t>So, while a sharp rise in oil prices has historically signaled significant economic pain, this time the impact on the U.S. economy is likely to be more contained than in past energy supply shocks. Not only is the U.S. a major energy exporter now, but oil intensity – that is, the number of barrels consumed per unit of GDP – has fallen by roughly half the level it was at the time of the Gulf War in 1990.  Goldman Sachs estimates that the conflict will modestly dent GDP growth — perhaps by 0.3% in the coming quarter — while nudging inflation to 3.0%</w:t>
      </w:r>
      <w:r w:rsidRPr="004A1AAF">
        <w:rPr>
          <w:color w:val="58595B"/>
        </w:rPr>
        <w:footnoteReference w:id="1"/>
      </w:r>
      <w:r w:rsidRPr="004A1AAF">
        <w:rPr>
          <w:rFonts w:asciiTheme="minorHAnsi" w:hAnsiTheme="minorHAnsi" w:cstheme="minorBidi"/>
          <w:color w:val="58595B"/>
          <w:sz w:val="20"/>
          <w:szCs w:val="20"/>
        </w:rPr>
        <w:t>.   While this does not seem so bad, the path of the conflict - and its implications for oil prices - remains highly uncertain</w:t>
      </w:r>
      <w:r w:rsidR="00AC799C" w:rsidRPr="004A1AAF">
        <w:rPr>
          <w:rFonts w:asciiTheme="minorHAnsi" w:hAnsiTheme="minorHAnsi" w:cstheme="minorBidi"/>
          <w:color w:val="58595B"/>
          <w:sz w:val="20"/>
          <w:szCs w:val="20"/>
        </w:rPr>
        <w:t>.</w:t>
      </w:r>
    </w:p>
    <w:p w14:paraId="68521382" w14:textId="77777777" w:rsidR="00AC799C" w:rsidRPr="004A1AAF" w:rsidRDefault="00AC799C" w:rsidP="001478E9">
      <w:pPr>
        <w:pStyle w:val="font-claude-response-body"/>
        <w:spacing w:before="0" w:beforeAutospacing="0" w:after="0" w:afterAutospacing="0"/>
        <w:rPr>
          <w:rFonts w:asciiTheme="minorHAnsi" w:hAnsiTheme="minorHAnsi" w:cstheme="minorBidi"/>
          <w:color w:val="58595B"/>
          <w:sz w:val="20"/>
          <w:szCs w:val="20"/>
        </w:rPr>
      </w:pPr>
    </w:p>
    <w:p w14:paraId="767565C2" w14:textId="7B5CE751" w:rsidR="00741BF1" w:rsidRPr="004A1AAF" w:rsidRDefault="00F96352" w:rsidP="001478E9">
      <w:pPr>
        <w:pStyle w:val="font-claude-response-body"/>
        <w:spacing w:before="0" w:beforeAutospacing="0" w:after="0" w:afterAutospacing="0"/>
        <w:rPr>
          <w:rFonts w:asciiTheme="minorHAnsi" w:hAnsiTheme="minorHAnsi" w:cstheme="minorBidi"/>
          <w:color w:val="58595B"/>
          <w:sz w:val="20"/>
          <w:szCs w:val="20"/>
        </w:rPr>
      </w:pPr>
      <w:r w:rsidRPr="004A1AAF">
        <w:rPr>
          <w:rFonts w:asciiTheme="minorHAnsi" w:hAnsiTheme="minorHAnsi" w:cstheme="minorBidi"/>
          <w:color w:val="58595B"/>
          <w:sz w:val="20"/>
          <w:szCs w:val="20"/>
        </w:rPr>
        <w:t>In times like these, it is instructive to return to one of Wealthcare's core principles, which is to focus on what we can control. That typically means a disciplined emphasis on risk management, tax management, and cost control. While we can’t control the impact of the war, we can control our response.  Please reach out so I can help with any concerns or explore ways to adjust your plan or portfolio to keep you on track.</w:t>
      </w:r>
    </w:p>
    <w:p w14:paraId="752B2D10" w14:textId="77777777" w:rsidR="00AC799C" w:rsidRPr="00F96352" w:rsidRDefault="00AC799C" w:rsidP="001478E9">
      <w:pPr>
        <w:pStyle w:val="font-claude-response-body"/>
        <w:spacing w:before="0" w:beforeAutospacing="0" w:after="0" w:afterAutospacing="0"/>
        <w:rPr>
          <w:rFonts w:asciiTheme="minorHAnsi" w:hAnsiTheme="minorHAnsi" w:cstheme="minorBidi"/>
          <w:sz w:val="20"/>
          <w:szCs w:val="20"/>
        </w:rPr>
      </w:pPr>
    </w:p>
    <w:p w14:paraId="3C01EC45" w14:textId="7BCE81B2"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F96352">
        <w:rPr>
          <w:rFonts w:cstheme="minorHAnsi"/>
          <w:color w:val="58595B"/>
          <w:sz w:val="16"/>
          <w:szCs w:val="16"/>
        </w:rPr>
        <w:t>6</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is a registered investment advisor with the U</w:t>
      </w:r>
      <w:r w:rsidR="00B50417">
        <w:rPr>
          <w:rFonts w:cstheme="minorHAnsi"/>
          <w:color w:val="58595B"/>
          <w:sz w:val="16"/>
          <w:szCs w:val="16"/>
        </w:rPr>
        <w:t>S</w:t>
      </w:r>
      <w:r w:rsidRPr="00BD6897">
        <w:rPr>
          <w:rFonts w:cstheme="minorHAnsi"/>
          <w:color w:val="58595B"/>
          <w:sz w:val="16"/>
          <w:szCs w:val="16"/>
        </w:rPr>
        <w:t xml:space="preserve">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6EDC8A2A" w:rsidR="006D7D2C" w:rsidRPr="00BD6897" w:rsidRDefault="005B6BFC" w:rsidP="00D226A9">
      <w:pPr>
        <w:spacing w:after="60"/>
      </w:pPr>
      <w:r w:rsidRPr="00BD6897">
        <w:rPr>
          <w:rFonts w:ascii="Calibri" w:eastAsia="Calibri" w:hAnsi="Calibri" w:cs="Calibri"/>
          <w:noProof/>
          <w:sz w:val="20"/>
          <w:szCs w:val="20"/>
        </w:rPr>
        <w:drawing>
          <wp:anchor distT="0" distB="0" distL="114300" distR="114300" simplePos="0" relativeHeight="251657728" behindDoc="0" locked="0" layoutInCell="1" allowOverlap="1" wp14:anchorId="1FC6F1D7" wp14:editId="1DAD5FE7">
            <wp:simplePos x="0" y="0"/>
            <wp:positionH relativeFrom="margin">
              <wp:align>center</wp:align>
            </wp:positionH>
            <wp:positionV relativeFrom="paragraph">
              <wp:posOffset>620395</wp:posOffset>
            </wp:positionV>
            <wp:extent cx="1771650" cy="6483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71650" cy="648335"/>
                    </a:xfrm>
                    <a:prstGeom prst="rect">
                      <a:avLst/>
                    </a:prstGeom>
                  </pic:spPr>
                </pic:pic>
              </a:graphicData>
            </a:graphic>
            <wp14:sizeRelH relativeFrom="margin">
              <wp14:pctWidth>0</wp14:pctWidth>
            </wp14:sizeRelH>
            <wp14:sizeRelV relativeFrom="margin">
              <wp14:pctHeight>0</wp14:pctHeight>
            </wp14:sizeRelV>
          </wp:anchor>
        </w:drawing>
      </w:r>
      <w:r w:rsidR="006D7D2C"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006D7D2C" w:rsidRPr="00BD6897">
        <w:rPr>
          <w:rFonts w:cstheme="minorHAnsi"/>
          <w:color w:val="58595B"/>
          <w:sz w:val="16"/>
          <w:szCs w:val="16"/>
        </w:rPr>
        <w:t>reliable, but</w:t>
      </w:r>
      <w:proofErr w:type="gramEnd"/>
      <w:r w:rsidR="006D7D2C"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48FE71D9" w14:textId="5304812D" w:rsidR="00BD6897" w:rsidRDefault="00BD6897" w:rsidP="00F96352">
      <w:pPr>
        <w:pStyle w:val="BodyText"/>
        <w:spacing w:before="70"/>
        <w:ind w:left="0" w:right="2"/>
        <w:rPr>
          <w:rFonts w:asciiTheme="minorHAnsi" w:hAnsiTheme="minorHAnsi"/>
          <w:color w:val="58595B"/>
          <w:sz w:val="24"/>
        </w:rPr>
      </w:pPr>
    </w:p>
    <w:p w14:paraId="28B1500B" w14:textId="1D03D995" w:rsidR="006D7D2C" w:rsidRPr="002D4A72" w:rsidRDefault="006D7D2C" w:rsidP="005B6BFC">
      <w:pPr>
        <w:pStyle w:val="BodyText"/>
        <w:ind w:left="0"/>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2F375017" w:rsidR="006D7D2C" w:rsidRPr="002D4A72" w:rsidRDefault="001478E9" w:rsidP="006D7D2C">
      <w:pPr>
        <w:jc w:val="center"/>
        <w:rPr>
          <w:rFonts w:ascii="Proxima Nova Rg" w:eastAsia="Proxima Nova Rg" w:hAnsi="Proxima Nova Rg" w:cs="Proxima Nova Rg"/>
          <w:color w:val="58595B"/>
          <w:sz w:val="20"/>
          <w:szCs w:val="20"/>
        </w:rPr>
      </w:pPr>
      <w:r>
        <w:rPr>
          <w:rFonts w:eastAsia="Proxima Nova Rg" w:cs="Proxima Nova Rg"/>
          <w:caps/>
          <w:noProof/>
          <w:color w:val="58595B"/>
          <w:sz w:val="24"/>
          <w:szCs w:val="16"/>
        </w:rPr>
        <mc:AlternateContent>
          <mc:Choice Requires="wps">
            <w:drawing>
              <wp:anchor distT="0" distB="0" distL="114300" distR="114300" simplePos="0" relativeHeight="251658752" behindDoc="0" locked="0" layoutInCell="1" allowOverlap="1" wp14:anchorId="7EAFB0BB" wp14:editId="78084C26">
                <wp:simplePos x="0" y="0"/>
                <wp:positionH relativeFrom="margin">
                  <wp:align>left</wp:align>
                </wp:positionH>
                <wp:positionV relativeFrom="paragraph">
                  <wp:posOffset>230505</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02777" id="Rectangle 1" o:spid="_x0000_s1026" style="position:absolute;margin-left:0;margin-top:18.15pt;width:160.5pt;height:24.7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" fillcolor="white [3212]" stroked="f" strokeweight="2pt">
                <w10:wrap anchorx="margin"/>
              </v:rect>
            </w:pict>
          </mc:Fallback>
        </mc:AlternateContent>
      </w:r>
    </w:p>
    <w:p w14:paraId="3118D16B" w14:textId="0B78AAA6" w:rsidR="00B07EDC" w:rsidRPr="00B07EDC" w:rsidRDefault="006D7D2C" w:rsidP="00B07EDC">
      <w:pPr>
        <w:tabs>
          <w:tab w:val="left" w:pos="3000"/>
        </w:tabs>
        <w:jc w:val="center"/>
        <w:rPr>
          <w:rStyle w:val="normaltextrun"/>
          <w:rFonts w:eastAsia="Proxima Nova Rg" w:cs="Proxima Nova Rg"/>
          <w:caps/>
          <w:color w:val="58595B"/>
          <w:sz w:val="24"/>
          <w:szCs w:val="16"/>
        </w:rPr>
      </w:pPr>
      <w:r w:rsidRPr="002D4A72">
        <w:rPr>
          <w:rFonts w:eastAsia="Proxima Nova Rg" w:cs="Proxima Nova Rg"/>
          <w:caps/>
          <w:color w:val="58595B"/>
          <w:sz w:val="24"/>
          <w:szCs w:val="16"/>
        </w:rPr>
        <w:t>Wealthcaregdx.com</w:t>
      </w:r>
    </w:p>
    <w:sectPr w:rsidR="00B07EDC" w:rsidRPr="00B07EDC" w:rsidSect="00586D21">
      <w:headerReference w:type="default" r:id="rId18"/>
      <w:footerReference w:type="default" r:id="rId19"/>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1CA2" w14:textId="77777777" w:rsidR="00EA2DFB" w:rsidRDefault="00EA2DFB">
      <w:r>
        <w:separator/>
      </w:r>
    </w:p>
  </w:endnote>
  <w:endnote w:type="continuationSeparator" w:id="0">
    <w:p w14:paraId="79D32DF9" w14:textId="77777777" w:rsidR="00EA2DFB" w:rsidRDefault="00E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4DD4" w14:textId="77777777" w:rsidR="00EA2DFB" w:rsidRDefault="00EA2DFB">
      <w:r>
        <w:separator/>
      </w:r>
    </w:p>
  </w:footnote>
  <w:footnote w:type="continuationSeparator" w:id="0">
    <w:p w14:paraId="622A05EF" w14:textId="77777777" w:rsidR="00EA2DFB" w:rsidRDefault="00EA2DFB">
      <w:r>
        <w:continuationSeparator/>
      </w:r>
    </w:p>
  </w:footnote>
  <w:footnote w:id="1">
    <w:p w14:paraId="470123E1" w14:textId="36230C4E" w:rsidR="00F96352" w:rsidRPr="00402367" w:rsidRDefault="00F96352" w:rsidP="00F96352">
      <w:pPr>
        <w:pStyle w:val="FootnoteText"/>
        <w:ind w:left="720"/>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285" w14:textId="77777777" w:rsidR="009A26BC" w:rsidRDefault="009A26BC">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MqwFAG+gGnE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97DE8"/>
    <w:rsid w:val="000A0BBE"/>
    <w:rsid w:val="000A1B7E"/>
    <w:rsid w:val="000A1E6F"/>
    <w:rsid w:val="000A301B"/>
    <w:rsid w:val="000A44C2"/>
    <w:rsid w:val="000A77AA"/>
    <w:rsid w:val="000B097C"/>
    <w:rsid w:val="000B1F1D"/>
    <w:rsid w:val="000B33F0"/>
    <w:rsid w:val="000B480D"/>
    <w:rsid w:val="000C2111"/>
    <w:rsid w:val="000C7EEE"/>
    <w:rsid w:val="000D0CAB"/>
    <w:rsid w:val="000D15E8"/>
    <w:rsid w:val="000D6CA3"/>
    <w:rsid w:val="000E31FF"/>
    <w:rsid w:val="000E6D97"/>
    <w:rsid w:val="000E7185"/>
    <w:rsid w:val="000F368D"/>
    <w:rsid w:val="00100F10"/>
    <w:rsid w:val="0010181F"/>
    <w:rsid w:val="00103C96"/>
    <w:rsid w:val="00104161"/>
    <w:rsid w:val="00107307"/>
    <w:rsid w:val="001177D9"/>
    <w:rsid w:val="00117FE0"/>
    <w:rsid w:val="00120605"/>
    <w:rsid w:val="001220F1"/>
    <w:rsid w:val="001239DF"/>
    <w:rsid w:val="00123D97"/>
    <w:rsid w:val="00126239"/>
    <w:rsid w:val="001265D3"/>
    <w:rsid w:val="00126DC4"/>
    <w:rsid w:val="0013194F"/>
    <w:rsid w:val="00132877"/>
    <w:rsid w:val="001358E4"/>
    <w:rsid w:val="001362FA"/>
    <w:rsid w:val="001412B4"/>
    <w:rsid w:val="001417C0"/>
    <w:rsid w:val="00144645"/>
    <w:rsid w:val="001478E9"/>
    <w:rsid w:val="00147B3C"/>
    <w:rsid w:val="00154F0D"/>
    <w:rsid w:val="00160CD0"/>
    <w:rsid w:val="00164CE5"/>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3B34"/>
    <w:rsid w:val="001F5C89"/>
    <w:rsid w:val="001F6B08"/>
    <w:rsid w:val="002008EC"/>
    <w:rsid w:val="00200F08"/>
    <w:rsid w:val="00202F3C"/>
    <w:rsid w:val="00202FCB"/>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4A42"/>
    <w:rsid w:val="002373DE"/>
    <w:rsid w:val="002379CD"/>
    <w:rsid w:val="0024403A"/>
    <w:rsid w:val="002456D2"/>
    <w:rsid w:val="00247C93"/>
    <w:rsid w:val="00250C3F"/>
    <w:rsid w:val="002521B9"/>
    <w:rsid w:val="00253473"/>
    <w:rsid w:val="00254906"/>
    <w:rsid w:val="0025490D"/>
    <w:rsid w:val="00257683"/>
    <w:rsid w:val="002605D2"/>
    <w:rsid w:val="00260AAA"/>
    <w:rsid w:val="00267230"/>
    <w:rsid w:val="002675C0"/>
    <w:rsid w:val="002726E8"/>
    <w:rsid w:val="00272770"/>
    <w:rsid w:val="0027354B"/>
    <w:rsid w:val="00274975"/>
    <w:rsid w:val="00276F3F"/>
    <w:rsid w:val="00276FBD"/>
    <w:rsid w:val="00281193"/>
    <w:rsid w:val="00286460"/>
    <w:rsid w:val="00287554"/>
    <w:rsid w:val="00287EAB"/>
    <w:rsid w:val="00291D0D"/>
    <w:rsid w:val="002932EA"/>
    <w:rsid w:val="00293EC2"/>
    <w:rsid w:val="00295497"/>
    <w:rsid w:val="002A0B8E"/>
    <w:rsid w:val="002A2EAD"/>
    <w:rsid w:val="002A5716"/>
    <w:rsid w:val="002B07E7"/>
    <w:rsid w:val="002B0B5C"/>
    <w:rsid w:val="002B630C"/>
    <w:rsid w:val="002B7B45"/>
    <w:rsid w:val="002C122F"/>
    <w:rsid w:val="002C2A5C"/>
    <w:rsid w:val="002C2DE1"/>
    <w:rsid w:val="002C648F"/>
    <w:rsid w:val="002C6572"/>
    <w:rsid w:val="002C73AD"/>
    <w:rsid w:val="002E32E8"/>
    <w:rsid w:val="002E665A"/>
    <w:rsid w:val="002F33BD"/>
    <w:rsid w:val="002F4672"/>
    <w:rsid w:val="002F76FF"/>
    <w:rsid w:val="00301A6F"/>
    <w:rsid w:val="003044A4"/>
    <w:rsid w:val="003047D1"/>
    <w:rsid w:val="003068FF"/>
    <w:rsid w:val="00310271"/>
    <w:rsid w:val="0031043D"/>
    <w:rsid w:val="00311800"/>
    <w:rsid w:val="0031457F"/>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80E"/>
    <w:rsid w:val="00357A58"/>
    <w:rsid w:val="00370C73"/>
    <w:rsid w:val="0037181F"/>
    <w:rsid w:val="003737D4"/>
    <w:rsid w:val="00374065"/>
    <w:rsid w:val="00374837"/>
    <w:rsid w:val="0038183B"/>
    <w:rsid w:val="003824E7"/>
    <w:rsid w:val="00383F28"/>
    <w:rsid w:val="00385FFB"/>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2307"/>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46C53"/>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654"/>
    <w:rsid w:val="00493B57"/>
    <w:rsid w:val="00494222"/>
    <w:rsid w:val="00494E1B"/>
    <w:rsid w:val="00495AFE"/>
    <w:rsid w:val="004A04FD"/>
    <w:rsid w:val="004A1AAF"/>
    <w:rsid w:val="004B11F0"/>
    <w:rsid w:val="004B2F7E"/>
    <w:rsid w:val="004B3CB0"/>
    <w:rsid w:val="004B7F15"/>
    <w:rsid w:val="004C0192"/>
    <w:rsid w:val="004C1D7F"/>
    <w:rsid w:val="004C2220"/>
    <w:rsid w:val="004C22E7"/>
    <w:rsid w:val="004C2EBE"/>
    <w:rsid w:val="004C74A9"/>
    <w:rsid w:val="004D528B"/>
    <w:rsid w:val="004E2DF5"/>
    <w:rsid w:val="004E338D"/>
    <w:rsid w:val="004E4375"/>
    <w:rsid w:val="004E66C6"/>
    <w:rsid w:val="004E7DD1"/>
    <w:rsid w:val="004F1132"/>
    <w:rsid w:val="004F1B81"/>
    <w:rsid w:val="004F356C"/>
    <w:rsid w:val="004F4B63"/>
    <w:rsid w:val="004F5C4C"/>
    <w:rsid w:val="004F6634"/>
    <w:rsid w:val="005005A7"/>
    <w:rsid w:val="00500895"/>
    <w:rsid w:val="00507E83"/>
    <w:rsid w:val="00512309"/>
    <w:rsid w:val="00515467"/>
    <w:rsid w:val="005163FC"/>
    <w:rsid w:val="005200A0"/>
    <w:rsid w:val="005310F2"/>
    <w:rsid w:val="00531EA3"/>
    <w:rsid w:val="005369FB"/>
    <w:rsid w:val="005374F8"/>
    <w:rsid w:val="0054156B"/>
    <w:rsid w:val="00541B1B"/>
    <w:rsid w:val="00542695"/>
    <w:rsid w:val="0054795D"/>
    <w:rsid w:val="00550998"/>
    <w:rsid w:val="005519F3"/>
    <w:rsid w:val="005537A6"/>
    <w:rsid w:val="005555B4"/>
    <w:rsid w:val="0056048B"/>
    <w:rsid w:val="00562574"/>
    <w:rsid w:val="00584BAA"/>
    <w:rsid w:val="005856CE"/>
    <w:rsid w:val="00586D21"/>
    <w:rsid w:val="005905C5"/>
    <w:rsid w:val="0059262F"/>
    <w:rsid w:val="005B2737"/>
    <w:rsid w:val="005B2B32"/>
    <w:rsid w:val="005B4D48"/>
    <w:rsid w:val="005B5A2E"/>
    <w:rsid w:val="005B6389"/>
    <w:rsid w:val="005B66EA"/>
    <w:rsid w:val="005B6BFC"/>
    <w:rsid w:val="005C0ED1"/>
    <w:rsid w:val="005C2C86"/>
    <w:rsid w:val="005C33A3"/>
    <w:rsid w:val="005D1997"/>
    <w:rsid w:val="005D2FD8"/>
    <w:rsid w:val="005D3039"/>
    <w:rsid w:val="005D5D48"/>
    <w:rsid w:val="005D606A"/>
    <w:rsid w:val="005E1C93"/>
    <w:rsid w:val="005E26E9"/>
    <w:rsid w:val="005E2E0D"/>
    <w:rsid w:val="005E4398"/>
    <w:rsid w:val="005E4F50"/>
    <w:rsid w:val="005F0EF1"/>
    <w:rsid w:val="005F1D20"/>
    <w:rsid w:val="005F3547"/>
    <w:rsid w:val="005F4495"/>
    <w:rsid w:val="005F50AB"/>
    <w:rsid w:val="005F5E0B"/>
    <w:rsid w:val="006017C4"/>
    <w:rsid w:val="00602F59"/>
    <w:rsid w:val="006047E9"/>
    <w:rsid w:val="0060643A"/>
    <w:rsid w:val="0060784E"/>
    <w:rsid w:val="006100D9"/>
    <w:rsid w:val="00611019"/>
    <w:rsid w:val="00611C61"/>
    <w:rsid w:val="00612B4F"/>
    <w:rsid w:val="00613762"/>
    <w:rsid w:val="00613DBB"/>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176C"/>
    <w:rsid w:val="0068201F"/>
    <w:rsid w:val="006820BA"/>
    <w:rsid w:val="00682F10"/>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BF1"/>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1EB4"/>
    <w:rsid w:val="007A23BB"/>
    <w:rsid w:val="007A3108"/>
    <w:rsid w:val="007A3F77"/>
    <w:rsid w:val="007A52F8"/>
    <w:rsid w:val="007A6DBD"/>
    <w:rsid w:val="007A7A65"/>
    <w:rsid w:val="007B4A6A"/>
    <w:rsid w:val="007B7DB3"/>
    <w:rsid w:val="007C15ED"/>
    <w:rsid w:val="007C7524"/>
    <w:rsid w:val="007D039A"/>
    <w:rsid w:val="007D1705"/>
    <w:rsid w:val="007D2F58"/>
    <w:rsid w:val="007D3185"/>
    <w:rsid w:val="007E3B81"/>
    <w:rsid w:val="007E4C39"/>
    <w:rsid w:val="007E4CA7"/>
    <w:rsid w:val="007F2B2B"/>
    <w:rsid w:val="007F4DFB"/>
    <w:rsid w:val="007F5779"/>
    <w:rsid w:val="007F57CF"/>
    <w:rsid w:val="007F7D4A"/>
    <w:rsid w:val="007F7E30"/>
    <w:rsid w:val="007F7EC5"/>
    <w:rsid w:val="007F7F1D"/>
    <w:rsid w:val="008005E0"/>
    <w:rsid w:val="00800E3B"/>
    <w:rsid w:val="0080222E"/>
    <w:rsid w:val="00804960"/>
    <w:rsid w:val="008106EB"/>
    <w:rsid w:val="0081161F"/>
    <w:rsid w:val="00814E3F"/>
    <w:rsid w:val="00817EE1"/>
    <w:rsid w:val="00820126"/>
    <w:rsid w:val="00820771"/>
    <w:rsid w:val="00821073"/>
    <w:rsid w:val="00821825"/>
    <w:rsid w:val="0082249B"/>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0B8A"/>
    <w:rsid w:val="00882020"/>
    <w:rsid w:val="008838BA"/>
    <w:rsid w:val="00883DC1"/>
    <w:rsid w:val="0088471B"/>
    <w:rsid w:val="00886CF6"/>
    <w:rsid w:val="00891314"/>
    <w:rsid w:val="00891CD6"/>
    <w:rsid w:val="00897691"/>
    <w:rsid w:val="008A2AD7"/>
    <w:rsid w:val="008A30B0"/>
    <w:rsid w:val="008A55C6"/>
    <w:rsid w:val="008B20CD"/>
    <w:rsid w:val="008B41AC"/>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533"/>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771E4"/>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D2F"/>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35BBB"/>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43A"/>
    <w:rsid w:val="00A97FCD"/>
    <w:rsid w:val="00AA02F6"/>
    <w:rsid w:val="00AA079B"/>
    <w:rsid w:val="00AA0C08"/>
    <w:rsid w:val="00AA0D57"/>
    <w:rsid w:val="00AA0EA5"/>
    <w:rsid w:val="00AA13BA"/>
    <w:rsid w:val="00AA5449"/>
    <w:rsid w:val="00AA6D33"/>
    <w:rsid w:val="00AB002B"/>
    <w:rsid w:val="00AB1296"/>
    <w:rsid w:val="00AB6E25"/>
    <w:rsid w:val="00AC039D"/>
    <w:rsid w:val="00AC246F"/>
    <w:rsid w:val="00AC799C"/>
    <w:rsid w:val="00AC7DFF"/>
    <w:rsid w:val="00AD7BE7"/>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25FD7"/>
    <w:rsid w:val="00B310D6"/>
    <w:rsid w:val="00B346F8"/>
    <w:rsid w:val="00B35045"/>
    <w:rsid w:val="00B40518"/>
    <w:rsid w:val="00B43370"/>
    <w:rsid w:val="00B44158"/>
    <w:rsid w:val="00B458DB"/>
    <w:rsid w:val="00B50417"/>
    <w:rsid w:val="00B51D8E"/>
    <w:rsid w:val="00B529A3"/>
    <w:rsid w:val="00B5439B"/>
    <w:rsid w:val="00B56D8A"/>
    <w:rsid w:val="00B5791C"/>
    <w:rsid w:val="00B601FA"/>
    <w:rsid w:val="00B606D0"/>
    <w:rsid w:val="00B6249F"/>
    <w:rsid w:val="00B633C0"/>
    <w:rsid w:val="00B65C63"/>
    <w:rsid w:val="00B65D5D"/>
    <w:rsid w:val="00B66ED3"/>
    <w:rsid w:val="00B77009"/>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279B0"/>
    <w:rsid w:val="00C31AE8"/>
    <w:rsid w:val="00C338CD"/>
    <w:rsid w:val="00C3398B"/>
    <w:rsid w:val="00C348B8"/>
    <w:rsid w:val="00C36D16"/>
    <w:rsid w:val="00C43733"/>
    <w:rsid w:val="00C43E88"/>
    <w:rsid w:val="00C44F8F"/>
    <w:rsid w:val="00C46828"/>
    <w:rsid w:val="00C50CCF"/>
    <w:rsid w:val="00C51AFD"/>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CF6316"/>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575B"/>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72B1C"/>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12F8"/>
    <w:rsid w:val="00E11347"/>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2DFB"/>
    <w:rsid w:val="00EA6506"/>
    <w:rsid w:val="00EB167F"/>
    <w:rsid w:val="00EB2D92"/>
    <w:rsid w:val="00EB3F2D"/>
    <w:rsid w:val="00EB4D81"/>
    <w:rsid w:val="00EB633B"/>
    <w:rsid w:val="00EC2E3F"/>
    <w:rsid w:val="00EC3E2E"/>
    <w:rsid w:val="00ED0AAF"/>
    <w:rsid w:val="00ED0D5E"/>
    <w:rsid w:val="00ED5F53"/>
    <w:rsid w:val="00ED749C"/>
    <w:rsid w:val="00EE24FC"/>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0296"/>
    <w:rsid w:val="00F82C8A"/>
    <w:rsid w:val="00F82DFF"/>
    <w:rsid w:val="00F85A28"/>
    <w:rsid w:val="00F9492C"/>
    <w:rsid w:val="00F95B56"/>
    <w:rsid w:val="00F96352"/>
    <w:rsid w:val="00F96FDC"/>
    <w:rsid w:val="00F97EE9"/>
    <w:rsid w:val="00FA099B"/>
    <w:rsid w:val="00FA4D01"/>
    <w:rsid w:val="00FA6D95"/>
    <w:rsid w:val="00FB25FA"/>
    <w:rsid w:val="00FB430F"/>
    <w:rsid w:val="00FB61C6"/>
    <w:rsid w:val="00FB6530"/>
    <w:rsid w:val="00FC366E"/>
    <w:rsid w:val="00FC6D4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 w:type="character" w:customStyle="1" w:styleId="break-words">
    <w:name w:val="break-words"/>
    <w:basedOn w:val="DefaultParagraphFont"/>
    <w:rsid w:val="008B41AC"/>
  </w:style>
  <w:style w:type="character" w:customStyle="1" w:styleId="css-1jxf684">
    <w:name w:val="css-1jxf684"/>
    <w:basedOn w:val="DefaultParagraphFont"/>
    <w:rsid w:val="008B41AC"/>
  </w:style>
  <w:style w:type="paragraph" w:customStyle="1" w:styleId="font-claude-response-body">
    <w:name w:val="font-claude-response-body"/>
    <w:basedOn w:val="Normal"/>
    <w:rsid w:val="00F96352"/>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75616104657adf65ba4d3a6b46572597">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916ea73b19eb922aeab26123b2bbeb27"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2.xml><?xml version="1.0" encoding="utf-8"?>
<ds:datastoreItem xmlns:ds="http://schemas.openxmlformats.org/officeDocument/2006/customXml" ds:itemID="{BFDA4B05-A3DA-4CF2-8672-030A750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3834</Characters>
  <Application>Microsoft Office Word</Application>
  <DocSecurity>0</DocSecurity>
  <Lines>69</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3</cp:revision>
  <cp:lastPrinted>2024-01-05T17:15:00Z</cp:lastPrinted>
  <dcterms:created xsi:type="dcterms:W3CDTF">2026-04-09T19:55:00Z</dcterms:created>
  <dcterms:modified xsi:type="dcterms:W3CDTF">2026-04-09T19:55:00Z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