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77CFFE9D" w:rsidR="00CE7DF2" w:rsidRPr="00126EFF" w:rsidRDefault="008C716E" w:rsidP="00BF0243">
      <w:pPr>
        <w:rPr>
          <w:rFonts w:eastAsia="Times New Roman" w:cstheme="minorHAnsi"/>
          <w:color w:val="58595B"/>
          <w:sz w:val="20"/>
          <w:szCs w:val="20"/>
        </w:rPr>
      </w:pPr>
      <w:bookmarkStart w:id="0" w:name="_Hlk33428732"/>
      <w:bookmarkEnd w:id="0"/>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33BC6C"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0A8713D1" w:rsidR="00310271" w:rsidRPr="00053804" w:rsidRDefault="00AF640D" w:rsidP="00BF0243">
      <w:pPr>
        <w:ind w:left="720"/>
        <w:rPr>
          <w:rFonts w:eastAsia="Proxima Nova Light" w:cstheme="minorHAnsi"/>
          <w:color w:val="005EA4"/>
          <w:sz w:val="44"/>
          <w:szCs w:val="44"/>
        </w:rPr>
      </w:pPr>
      <w:r>
        <w:rPr>
          <w:rFonts w:eastAsia="Times New Roman" w:cstheme="minorHAnsi"/>
          <w:b/>
          <w:bCs/>
          <w:color w:val="005EA4"/>
          <w:sz w:val="44"/>
          <w:szCs w:val="44"/>
        </w:rPr>
        <w:t>April</w:t>
      </w:r>
      <w:r w:rsidR="007B7D63">
        <w:rPr>
          <w:rFonts w:eastAsia="Times New Roman" w:cstheme="minorHAnsi"/>
          <w:b/>
          <w:bCs/>
          <w:color w:val="005EA4"/>
          <w:sz w:val="44"/>
          <w:szCs w:val="44"/>
        </w:rPr>
        <w:t xml:space="preserve"> 2026</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58C502"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11E548B5" w14:textId="77777777" w:rsidR="009567D4" w:rsidRPr="00AD47A7" w:rsidRDefault="009567D4" w:rsidP="009567D4">
      <w:pPr>
        <w:rPr>
          <w:color w:val="58595B"/>
        </w:rPr>
      </w:pPr>
      <w:r w:rsidRPr="00AD47A7">
        <w:rPr>
          <w:color w:val="58595B"/>
        </w:rPr>
        <w:t>Stocks resumed their upward trajectory in April, making significant gains and leaving April's losses firmly in the rearview mirror. The Federal Reserve (Fed) held rates steady, as widely expected. Both key inflation gauges showed high annual numbers, with energy prices a key culprit. Consumer confidence also edged slightly higher but still showed high levels of financial anxiety -- especially about energy prices -- among US consumers.</w:t>
      </w:r>
    </w:p>
    <w:p w14:paraId="561360AF" w14:textId="77777777" w:rsidR="009B3E01" w:rsidRPr="009B3E01" w:rsidRDefault="009B3E01" w:rsidP="009B3E01">
      <w:pPr>
        <w:pStyle w:val="Heading2"/>
        <w:rPr>
          <w:rFonts w:asciiTheme="minorHAnsi" w:hAnsiTheme="minorHAnsi" w:cstheme="minorHAnsi"/>
          <w:color w:val="005EA4"/>
        </w:rPr>
      </w:pPr>
      <w:r w:rsidRPr="009B3E01">
        <w:rPr>
          <w:rFonts w:asciiTheme="minorHAnsi" w:hAnsiTheme="minorHAnsi" w:cstheme="minorHAnsi"/>
          <w:color w:val="005EA4"/>
        </w:rPr>
        <w:t>Stocks Surge in April, Rebound to Record Highs</w:t>
      </w:r>
    </w:p>
    <w:p w14:paraId="74527EBB" w14:textId="77777777" w:rsidR="00AD47A7" w:rsidRPr="00AD47A7" w:rsidRDefault="00AD47A7" w:rsidP="00AD47A7">
      <w:pPr>
        <w:rPr>
          <w:color w:val="58595B"/>
        </w:rPr>
      </w:pPr>
      <w:r w:rsidRPr="00AD47A7">
        <w:rPr>
          <w:color w:val="58595B"/>
        </w:rPr>
        <w:t>After a disappointing March, stocks came roaring back in April with all the major indices making significant advances. The broad market S&amp;P 500® (SPX) finished up 10.4% for the month and recorded a new all-time high. The tech-heavy NASDAQ Composite Index (COMP) was up over 15% and recorded a new intra-day high. The Dow Jones Industrial Average® (DJIA) also gained ground, improving 7.1% compared to March.</w:t>
      </w:r>
    </w:p>
    <w:p w14:paraId="7D9A1AEF" w14:textId="77777777" w:rsidR="00AD47A7" w:rsidRPr="00AD47A7" w:rsidRDefault="00AD47A7" w:rsidP="00AD47A7">
      <w:pPr>
        <w:rPr>
          <w:color w:val="58595B"/>
        </w:rPr>
      </w:pPr>
    </w:p>
    <w:p w14:paraId="1BD4B835" w14:textId="77777777" w:rsidR="00AD47A7" w:rsidRPr="00AD47A7" w:rsidRDefault="00AD47A7" w:rsidP="00AD47A7">
      <w:pPr>
        <w:rPr>
          <w:color w:val="58595B"/>
        </w:rPr>
      </w:pPr>
      <w:r w:rsidRPr="00AD47A7">
        <w:rPr>
          <w:color w:val="58595B"/>
        </w:rPr>
        <w:t>The markets were buoyed by a mix of positive factors. Investors sold stocks of every stripe without much regard to quality in March and returned in April to bargain hunt. The Fed also didn't make any hawkish surprises and even appears to be open to a rate cut this year. The war with Iran appears to be in a holding pattern for now, which is leading to less general risk in the markets. Better-than-expected corporate results from household names like Alphabet, Amazon, and Eli Lilly also helped stock prices.</w:t>
      </w:r>
    </w:p>
    <w:p w14:paraId="245406BC" w14:textId="77777777" w:rsidR="00B53E51" w:rsidRPr="00B53E51" w:rsidRDefault="00B53E51" w:rsidP="009A448E">
      <w:pPr>
        <w:rPr>
          <w:rFonts w:cstheme="minorHAnsi"/>
        </w:rPr>
      </w:pPr>
    </w:p>
    <w:p w14:paraId="284A9595" w14:textId="77777777" w:rsidR="00E76A5C" w:rsidRPr="00124661" w:rsidRDefault="00E76A5C" w:rsidP="009A448E">
      <w:pPr>
        <w:rPr>
          <w:rFonts w:cstheme="minorHAnsi"/>
          <w:color w:val="58595B"/>
        </w:rPr>
      </w:pPr>
    </w:p>
    <w:p w14:paraId="366994F9" w14:textId="77777777" w:rsidR="000B0712" w:rsidRPr="003906E4" w:rsidRDefault="000B0712" w:rsidP="007D58B1">
      <w:pPr>
        <w:jc w:val="center"/>
      </w:pPr>
      <w:r>
        <w:rPr>
          <w:noProof/>
        </w:rPr>
        <w:drawing>
          <wp:inline distT="0" distB="0" distL="0" distR="0" wp14:anchorId="058E6D18" wp14:editId="43FBF814">
            <wp:extent cx="5943600" cy="3171825"/>
            <wp:effectExtent l="19050" t="19050" r="19050" b="28575"/>
            <wp:docPr id="1237795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95999" name=""/>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171825"/>
                    </a:xfrm>
                    <a:prstGeom prst="rect">
                      <a:avLst/>
                    </a:prstGeom>
                    <a:ln>
                      <a:solidFill>
                        <a:schemeClr val="accent1"/>
                      </a:solidFill>
                    </a:ln>
                  </pic:spPr>
                </pic:pic>
              </a:graphicData>
            </a:graphic>
          </wp:inline>
        </w:drawing>
      </w:r>
    </w:p>
    <w:p w14:paraId="465E5271" w14:textId="77777777" w:rsidR="00212F17" w:rsidRPr="003906E4" w:rsidRDefault="00212F17" w:rsidP="00212F17">
      <w:pPr>
        <w:jc w:val="center"/>
      </w:pPr>
      <w:r w:rsidRPr="003906E4">
        <w:t xml:space="preserve">Source: </w:t>
      </w:r>
      <w:hyperlink r:id="rId20" w:history="1">
        <w:r w:rsidRPr="003906E4">
          <w:rPr>
            <w:rStyle w:val="Hyperlink"/>
          </w:rPr>
          <w:t>Wall Street Journal</w:t>
        </w:r>
      </w:hyperlink>
    </w:p>
    <w:p w14:paraId="77413FB3" w14:textId="4FC2AD10" w:rsidR="005E5936" w:rsidRDefault="005E5936" w:rsidP="00CE60C6">
      <w:pPr>
        <w:rPr>
          <w:rFonts w:cstheme="minorHAnsi"/>
        </w:rPr>
      </w:pPr>
    </w:p>
    <w:p w14:paraId="1E54DF16" w14:textId="77777777" w:rsidR="005C61FC" w:rsidRDefault="005C61FC" w:rsidP="00CE60C6">
      <w:pPr>
        <w:rPr>
          <w:rFonts w:cstheme="minorHAnsi"/>
        </w:rPr>
      </w:pPr>
    </w:p>
    <w:p w14:paraId="0CE9BCE3" w14:textId="77777777" w:rsidR="00F054CE" w:rsidRDefault="00F054CE" w:rsidP="00CE60C6">
      <w:pPr>
        <w:rPr>
          <w:rFonts w:cstheme="minorHAnsi"/>
        </w:rPr>
      </w:pPr>
    </w:p>
    <w:p w14:paraId="5FE95A23" w14:textId="77777777" w:rsidR="00F054CE" w:rsidRPr="00FB0056" w:rsidRDefault="00F054CE" w:rsidP="00CE60C6">
      <w:pPr>
        <w:rPr>
          <w:rFonts w:cstheme="minorHAnsi"/>
        </w:rPr>
      </w:pPr>
    </w:p>
    <w:p w14:paraId="481D385A" w14:textId="77777777" w:rsidR="0042685B" w:rsidRPr="0075656D" w:rsidRDefault="0042685B" w:rsidP="0042685B">
      <w:pPr>
        <w:pStyle w:val="Heading2"/>
        <w:rPr>
          <w:rFonts w:asciiTheme="minorHAnsi" w:hAnsiTheme="minorHAnsi" w:cstheme="minorHAnsi"/>
          <w:color w:val="005EA4"/>
        </w:rPr>
      </w:pPr>
      <w:r w:rsidRPr="0075656D">
        <w:rPr>
          <w:rFonts w:asciiTheme="minorHAnsi" w:hAnsiTheme="minorHAnsi" w:cstheme="minorHAnsi"/>
          <w:color w:val="005EA4"/>
        </w:rPr>
        <w:lastRenderedPageBreak/>
        <w:t>Fed Holds Rates Steady; Rare Split Highlights Policy Divide</w:t>
      </w:r>
    </w:p>
    <w:p w14:paraId="7812EA3C" w14:textId="77777777" w:rsidR="00DB34FF" w:rsidRPr="0028553B" w:rsidRDefault="00DB34FF" w:rsidP="00DB34FF">
      <w:pPr>
        <w:rPr>
          <w:color w:val="58595B"/>
        </w:rPr>
      </w:pPr>
      <w:r w:rsidRPr="0028553B">
        <w:rPr>
          <w:color w:val="58595B"/>
        </w:rPr>
        <w:t xml:space="preserve">Taking no one by surprise, the Fed held interest rates steady during its latest meeting at the end of April. The US central bank's Federal Open Market Committee (FOMC) maintained the benchmark federal funds rate in a target range of 3.5% to 3.75%. The Fed's decision marks the third consecutive time this year the Fed has decided to stand pat. Last year, policy </w:t>
      </w:r>
      <w:proofErr w:type="gramStart"/>
      <w:r w:rsidRPr="0028553B">
        <w:rPr>
          <w:color w:val="58595B"/>
        </w:rPr>
        <w:t>maker</w:t>
      </w:r>
      <w:proofErr w:type="gramEnd"/>
      <w:r w:rsidRPr="0028553B">
        <w:rPr>
          <w:color w:val="58595B"/>
        </w:rPr>
        <w:t xml:space="preserve"> cut rates three times.</w:t>
      </w:r>
    </w:p>
    <w:p w14:paraId="45D3D31F" w14:textId="77777777" w:rsidR="00DB34FF" w:rsidRPr="0028553B" w:rsidRDefault="00DB34FF" w:rsidP="00DB34FF">
      <w:pPr>
        <w:rPr>
          <w:color w:val="58595B"/>
        </w:rPr>
      </w:pPr>
    </w:p>
    <w:p w14:paraId="08B0EFE5" w14:textId="77777777" w:rsidR="00DB34FF" w:rsidRPr="0028553B" w:rsidRDefault="00DB34FF" w:rsidP="00DB34FF">
      <w:pPr>
        <w:rPr>
          <w:color w:val="58595B"/>
        </w:rPr>
      </w:pPr>
      <w:r w:rsidRPr="0028553B">
        <w:rPr>
          <w:color w:val="58595B"/>
        </w:rPr>
        <w:t>The Fed indicated that it was sensitive to its dual mandate of price stability and maximum employment but is obviously worried about the Iran war. "Developments in the Middle East are contributing to a high level of uncertainty about the economic outlook," the Fed's statement said.</w:t>
      </w:r>
    </w:p>
    <w:p w14:paraId="2CD1EFD8" w14:textId="77777777" w:rsidR="00DB34FF" w:rsidRPr="0028553B" w:rsidRDefault="00DB34FF" w:rsidP="00DB34FF">
      <w:pPr>
        <w:rPr>
          <w:color w:val="58595B"/>
        </w:rPr>
      </w:pPr>
    </w:p>
    <w:p w14:paraId="06EFCD7B" w14:textId="77777777" w:rsidR="00DB34FF" w:rsidRPr="0028553B" w:rsidRDefault="00DB34FF" w:rsidP="00DB34FF">
      <w:pPr>
        <w:rPr>
          <w:color w:val="58595B"/>
        </w:rPr>
      </w:pPr>
      <w:r w:rsidRPr="0028553B">
        <w:rPr>
          <w:color w:val="58595B"/>
        </w:rPr>
        <w:t xml:space="preserve">Notably, the Fed's decision was split along 8-4 lines -- the last time that many FOMC members dissented was October 1992. </w:t>
      </w:r>
    </w:p>
    <w:p w14:paraId="2D82C560" w14:textId="77777777" w:rsidR="00DB34FF" w:rsidRPr="0028553B" w:rsidRDefault="00DB34FF" w:rsidP="00DB34FF">
      <w:pPr>
        <w:rPr>
          <w:color w:val="58595B"/>
        </w:rPr>
      </w:pPr>
    </w:p>
    <w:p w14:paraId="38AA9E62" w14:textId="77777777" w:rsidR="00DB34FF" w:rsidRPr="0028553B" w:rsidRDefault="00DB34FF" w:rsidP="00DB34FF">
      <w:pPr>
        <w:rPr>
          <w:color w:val="58595B"/>
        </w:rPr>
      </w:pPr>
      <w:r w:rsidRPr="0028553B">
        <w:rPr>
          <w:color w:val="58595B"/>
        </w:rPr>
        <w:t>The four dissenters were driven by varied reasons. One the one hand Governor Stephen Miran -- as he has done before -- dissented in favor of a quarter point reduction. The other three dissenters -- which included Beth Hammack of Cleveland, Neel Kashkari of Minneapolis and Lorie Logan of Dallas -- agreed with the hold on rates, but disliked the easing bias in the statement, namely "in considering the extent and timing of additional adjustments to the target range for the federal funds rate, the Committee will carefully assess incoming data, the evolving outlook, and the balance of risks."</w:t>
      </w:r>
    </w:p>
    <w:p w14:paraId="4E23312B" w14:textId="77777777" w:rsidR="003A68D9" w:rsidRPr="0028553B" w:rsidRDefault="003A68D9" w:rsidP="00DB34FF">
      <w:pPr>
        <w:rPr>
          <w:color w:val="58595B"/>
        </w:rPr>
      </w:pPr>
    </w:p>
    <w:p w14:paraId="048AE002" w14:textId="77777777" w:rsidR="00DB34FF" w:rsidRDefault="00DB34FF" w:rsidP="00DB34FF">
      <w:r w:rsidRPr="0028553B">
        <w:rPr>
          <w:color w:val="58595B"/>
        </w:rPr>
        <w:t>After the March meeting, Fed officials envisioned one cut this year and another in 2027.</w:t>
      </w:r>
      <w:r>
        <w:t xml:space="preserve"> </w:t>
      </w:r>
      <w:hyperlink r:id="rId21" w:history="1">
        <w:r w:rsidRPr="00626DE9">
          <w:rPr>
            <w:rStyle w:val="Hyperlink"/>
          </w:rPr>
          <w:t>FRB</w:t>
        </w:r>
      </w:hyperlink>
      <w:r>
        <w:t xml:space="preserve">, </w:t>
      </w:r>
      <w:hyperlink r:id="rId22" w:history="1">
        <w:r w:rsidRPr="00626DE9">
          <w:rPr>
            <w:rStyle w:val="Hyperlink"/>
          </w:rPr>
          <w:t>CNBC</w:t>
        </w:r>
      </w:hyperlink>
    </w:p>
    <w:p w14:paraId="1E59F82E" w14:textId="77777777" w:rsidR="00B167F6" w:rsidRPr="00B167F6" w:rsidRDefault="00B167F6" w:rsidP="00B167F6">
      <w:pPr>
        <w:pStyle w:val="Heading2"/>
        <w:rPr>
          <w:rFonts w:asciiTheme="minorHAnsi" w:hAnsiTheme="minorHAnsi" w:cstheme="minorHAnsi"/>
        </w:rPr>
      </w:pPr>
      <w:r w:rsidRPr="00B167F6">
        <w:rPr>
          <w:rFonts w:asciiTheme="minorHAnsi" w:hAnsiTheme="minorHAnsi" w:cstheme="minorHAnsi"/>
          <w:color w:val="005EA4"/>
        </w:rPr>
        <w:t>PCE Inflation Jumps to 3.5% as Energy Costs Surge</w:t>
      </w:r>
    </w:p>
    <w:p w14:paraId="61869AE9" w14:textId="77777777" w:rsidR="00390271" w:rsidRPr="0028553B" w:rsidRDefault="00390271" w:rsidP="00390271">
      <w:pPr>
        <w:rPr>
          <w:color w:val="58595B"/>
        </w:rPr>
      </w:pPr>
      <w:r w:rsidRPr="0028553B">
        <w:rPr>
          <w:color w:val="58595B"/>
        </w:rPr>
        <w:t xml:space="preserve">Consumers continue to face a steady rise in prices as the inflationary effects of the Iran war work their way through the economy. The Personal Consumption Index (PCE) -- the Fed's preferred inflation gauge -- grew 0.7% in March, according to the latest report from the Bureau of Economic Analysis. Compared to a year ago, prices are now 3.5% higher, significantly above </w:t>
      </w:r>
      <w:proofErr w:type="gramStart"/>
      <w:r w:rsidRPr="0028553B">
        <w:rPr>
          <w:color w:val="58595B"/>
        </w:rPr>
        <w:t>the Fed's</w:t>
      </w:r>
      <w:proofErr w:type="gramEnd"/>
      <w:r w:rsidRPr="0028553B">
        <w:rPr>
          <w:color w:val="58595B"/>
        </w:rPr>
        <w:t xml:space="preserve"> 2% target.</w:t>
      </w:r>
    </w:p>
    <w:p w14:paraId="46CE8FFA" w14:textId="77777777" w:rsidR="00390271" w:rsidRPr="0028553B" w:rsidRDefault="00390271" w:rsidP="00390271">
      <w:pPr>
        <w:rPr>
          <w:color w:val="58595B"/>
        </w:rPr>
      </w:pPr>
    </w:p>
    <w:p w14:paraId="03F1D163" w14:textId="77777777" w:rsidR="00390271" w:rsidRPr="0028553B" w:rsidRDefault="00390271" w:rsidP="00390271">
      <w:pPr>
        <w:rPr>
          <w:color w:val="58595B"/>
        </w:rPr>
      </w:pPr>
      <w:r w:rsidRPr="0028553B">
        <w:rPr>
          <w:color w:val="58595B"/>
        </w:rPr>
        <w:t>Excluding the more volatile food and energy components, the core PCE -- a less noisy inflation tool employed by policy makers -- rose 0.3% in March and 3.2% compared to a year ago. Core inflation now stands at its highest level since November 2023.</w:t>
      </w:r>
    </w:p>
    <w:p w14:paraId="3D67980F" w14:textId="77777777" w:rsidR="00390271" w:rsidRPr="0028553B" w:rsidRDefault="00390271" w:rsidP="00390271">
      <w:pPr>
        <w:rPr>
          <w:color w:val="58595B"/>
        </w:rPr>
      </w:pPr>
    </w:p>
    <w:p w14:paraId="6EFA764A" w14:textId="77777777" w:rsidR="00390271" w:rsidRPr="0028553B" w:rsidRDefault="00390271" w:rsidP="00390271">
      <w:pPr>
        <w:rPr>
          <w:color w:val="58595B"/>
        </w:rPr>
      </w:pPr>
      <w:r w:rsidRPr="0028553B">
        <w:rPr>
          <w:color w:val="58595B"/>
        </w:rPr>
        <w:t>The bulk of the higher prices came from a 1.4% rise in goods prices and, not surprisingly, an 11.6% jump in energy goods and services.</w:t>
      </w:r>
    </w:p>
    <w:p w14:paraId="44E42C0F" w14:textId="77777777" w:rsidR="00390271" w:rsidRPr="0028553B" w:rsidRDefault="00390271" w:rsidP="00390271">
      <w:pPr>
        <w:rPr>
          <w:color w:val="58595B"/>
        </w:rPr>
      </w:pPr>
    </w:p>
    <w:p w14:paraId="1998DEFC" w14:textId="77777777" w:rsidR="00390271" w:rsidRPr="0028553B" w:rsidRDefault="00390271" w:rsidP="00390271">
      <w:pPr>
        <w:rPr>
          <w:color w:val="58595B"/>
        </w:rPr>
      </w:pPr>
      <w:r w:rsidRPr="0028553B">
        <w:rPr>
          <w:color w:val="58595B"/>
        </w:rPr>
        <w:t>Both the top line and core PCE numbers were in line with forecasts.</w:t>
      </w:r>
    </w:p>
    <w:p w14:paraId="67AC8C81" w14:textId="77777777" w:rsidR="0075656D" w:rsidRPr="0028553B" w:rsidRDefault="0075656D" w:rsidP="00390271">
      <w:pPr>
        <w:rPr>
          <w:color w:val="58595B"/>
        </w:rPr>
      </w:pPr>
    </w:p>
    <w:p w14:paraId="18AF24D1" w14:textId="77777777" w:rsidR="00390271" w:rsidRDefault="00390271" w:rsidP="00390271">
      <w:r w:rsidRPr="0028553B">
        <w:rPr>
          <w:color w:val="58595B"/>
        </w:rPr>
        <w:t>The PCE inflation report echoed the Consumer Price Index (CPI) inflation report by the Bureau of Labor Statistics released earlier in the month. CPI increased at an annual rate of 3.3%, driven by a 10.9% jump in energy costs. The rate was the highest since April 2024</w:t>
      </w:r>
      <w:r>
        <w:t xml:space="preserve">. </w:t>
      </w:r>
      <w:hyperlink r:id="rId23" w:history="1">
        <w:r w:rsidRPr="00461375">
          <w:rPr>
            <w:rStyle w:val="Hyperlink"/>
          </w:rPr>
          <w:t>CNBC</w:t>
        </w:r>
      </w:hyperlink>
      <w:r>
        <w:t xml:space="preserve">, </w:t>
      </w:r>
      <w:hyperlink r:id="rId24" w:history="1">
        <w:r w:rsidRPr="006A083D">
          <w:rPr>
            <w:rStyle w:val="Hyperlink"/>
          </w:rPr>
          <w:t>CNBC</w:t>
        </w:r>
      </w:hyperlink>
    </w:p>
    <w:p w14:paraId="63ABC591" w14:textId="1E3E2F42" w:rsidR="0082628D" w:rsidRPr="003D64BE" w:rsidRDefault="003D64BE" w:rsidP="0082628D">
      <w:pPr>
        <w:pStyle w:val="Heading2"/>
        <w:rPr>
          <w:rFonts w:asciiTheme="minorHAnsi" w:hAnsiTheme="minorHAnsi" w:cstheme="minorHAnsi"/>
          <w:color w:val="005EA4"/>
        </w:rPr>
      </w:pPr>
      <w:r w:rsidRPr="003D64BE">
        <w:rPr>
          <w:rFonts w:asciiTheme="minorHAnsi" w:hAnsiTheme="minorHAnsi" w:cstheme="minorHAnsi"/>
          <w:color w:val="005EA4"/>
        </w:rPr>
        <w:t>Consumer Confidence Ticks Up but Remains Near Pandemic-Era Lows</w:t>
      </w:r>
    </w:p>
    <w:p w14:paraId="22B6851E" w14:textId="77777777" w:rsidR="00E313DC" w:rsidRPr="0028553B" w:rsidRDefault="00E313DC" w:rsidP="00E313DC">
      <w:pPr>
        <w:rPr>
          <w:color w:val="58595B"/>
        </w:rPr>
      </w:pPr>
      <w:r w:rsidRPr="0028553B">
        <w:rPr>
          <w:color w:val="58595B"/>
        </w:rPr>
        <w:t>Consumer confidence edged up slightly in April, according to the latest reading from the Conference Board. The Conference Board Consumer Confidence Index® increased by 0.6 points to 92.8 from 92.2 in March, which was revised upward. The Expectations Index -- which reflects consumers' short-term outlook for jobs, business, and income -- also rose 1.2 points to 72.2. On the other hand, how consumers feel about the current job and business conditions -- the Present Situation Index -- fell by 0.3 points to 123.8. Even though the index ticked up slightly, it remains stuck at levels not seen since the covid era.</w:t>
      </w:r>
    </w:p>
    <w:p w14:paraId="48C740AC" w14:textId="77777777" w:rsidR="009021D8" w:rsidRPr="0028553B" w:rsidRDefault="009021D8" w:rsidP="00E313DC">
      <w:pPr>
        <w:rPr>
          <w:color w:val="58595B"/>
        </w:rPr>
      </w:pPr>
    </w:p>
    <w:p w14:paraId="7EDC8099" w14:textId="77777777" w:rsidR="009021D8" w:rsidRPr="0028553B" w:rsidRDefault="009021D8" w:rsidP="00E313DC">
      <w:pPr>
        <w:rPr>
          <w:color w:val="58595B"/>
        </w:rPr>
      </w:pPr>
    </w:p>
    <w:p w14:paraId="4F1D94AF" w14:textId="31FE2BA1" w:rsidR="00E313DC" w:rsidRPr="0028553B" w:rsidRDefault="00E313DC" w:rsidP="00E313DC">
      <w:pPr>
        <w:rPr>
          <w:color w:val="58595B"/>
        </w:rPr>
      </w:pPr>
      <w:r w:rsidRPr="0028553B">
        <w:rPr>
          <w:color w:val="58595B"/>
        </w:rPr>
        <w:lastRenderedPageBreak/>
        <w:t>Consumers' write-in responses highlighted continuing worry over the economy in April, as comments about oil and gas, prices, and war increased in frequency compared to March. Consumers are increasingly worried about how the fallout from the Iran war will affect their economic lives.</w:t>
      </w:r>
    </w:p>
    <w:p w14:paraId="19C65407" w14:textId="77777777" w:rsidR="009021D8" w:rsidRPr="0028553B" w:rsidRDefault="009021D8" w:rsidP="00E313DC">
      <w:pPr>
        <w:rPr>
          <w:color w:val="58595B"/>
        </w:rPr>
      </w:pPr>
    </w:p>
    <w:p w14:paraId="66CCAA76" w14:textId="37C59C0B" w:rsidR="002C5401" w:rsidRPr="009021D8" w:rsidRDefault="00E313DC" w:rsidP="00BE7ACE">
      <w:r w:rsidRPr="0028553B">
        <w:rPr>
          <w:color w:val="58595B"/>
        </w:rPr>
        <w:t xml:space="preserve">According to Dana M Peterson, Chief Economist, "consumer confidence edged up in April </w:t>
      </w:r>
      <w:proofErr w:type="gramStart"/>
      <w:r w:rsidRPr="0028553B">
        <w:rPr>
          <w:color w:val="58595B"/>
        </w:rPr>
        <w:t>but was</w:t>
      </w:r>
      <w:proofErr w:type="gramEnd"/>
      <w:r w:rsidRPr="0028553B">
        <w:rPr>
          <w:color w:val="58595B"/>
        </w:rPr>
        <w:t xml:space="preserve"> overall little changed, despite material concern about rising gasoline prices as the war in the Middle East prompted a surge in Brent crude oil prices ... Consumer appraisals of current and expected business conditions declined moderately compared to last month. This was offset by modest improvements in consumers’ perceptions of the labor market, both current and expected, as well as income expectations, which were slightly more optimistic in April." </w:t>
      </w:r>
      <w:hyperlink r:id="rId25" w:history="1">
        <w:r w:rsidRPr="00DF699A">
          <w:rPr>
            <w:rStyle w:val="Hyperlink"/>
          </w:rPr>
          <w:t>Conference Board</w:t>
        </w:r>
      </w:hyperlink>
      <w:r>
        <w:t xml:space="preserve">, </w:t>
      </w:r>
      <w:hyperlink r:id="rId26" w:history="1">
        <w:r w:rsidRPr="00DF699A">
          <w:rPr>
            <w:rStyle w:val="Hyperlink"/>
          </w:rPr>
          <w:t>AP News</w:t>
        </w:r>
      </w:hyperlink>
    </w:p>
    <w:p w14:paraId="642DE185" w14:textId="77777777" w:rsidR="00E729B6" w:rsidRPr="00126EFF" w:rsidRDefault="00E729B6" w:rsidP="00E729B6">
      <w:pPr>
        <w:rPr>
          <w:rFonts w:eastAsia="Avenir" w:cstheme="minorHAnsi"/>
          <w:color w:val="58595B"/>
        </w:rPr>
      </w:pPr>
    </w:p>
    <w:p w14:paraId="263A3DF6" w14:textId="77777777" w:rsidR="009021D8" w:rsidRDefault="009021D8" w:rsidP="006F28A9">
      <w:pPr>
        <w:ind w:right="360"/>
        <w:rPr>
          <w:rFonts w:eastAsia="Avenir" w:cstheme="minorHAnsi"/>
          <w:color w:val="58595B"/>
          <w:sz w:val="16"/>
          <w:szCs w:val="16"/>
        </w:rPr>
      </w:pPr>
    </w:p>
    <w:p w14:paraId="6559A5B9" w14:textId="33001BE0" w:rsidR="00BA3AC9" w:rsidRPr="00E86A90" w:rsidRDefault="00BA3AC9" w:rsidP="006F28A9">
      <w:pPr>
        <w:ind w:right="360"/>
        <w:rPr>
          <w:rFonts w:eastAsia="Avenir" w:cstheme="minorHAnsi"/>
          <w:color w:val="58595B"/>
          <w:sz w:val="16"/>
          <w:szCs w:val="16"/>
        </w:rPr>
      </w:pPr>
      <w:r w:rsidRPr="00E86A90">
        <w:rPr>
          <w:rFonts w:eastAsia="Avenir" w:cstheme="minorHAnsi"/>
          <w:color w:val="58595B"/>
          <w:sz w:val="16"/>
          <w:szCs w:val="16"/>
        </w:rPr>
        <w:t xml:space="preserve">This research material was prepared by </w:t>
      </w:r>
      <w:r w:rsidR="00C64F63" w:rsidRPr="00E86A90">
        <w:rPr>
          <w:rFonts w:eastAsia="Avenir" w:cstheme="minorHAnsi"/>
          <w:color w:val="58595B"/>
          <w:sz w:val="16"/>
          <w:szCs w:val="16"/>
        </w:rPr>
        <w:t>Burritt Research, Inc</w:t>
      </w:r>
      <w:r w:rsidRPr="00E86A90">
        <w:rPr>
          <w:rFonts w:eastAsia="Avenir" w:cstheme="minorHAnsi"/>
          <w:color w:val="58595B"/>
          <w:sz w:val="16"/>
          <w:szCs w:val="16"/>
        </w:rPr>
        <w:t>.</w:t>
      </w:r>
    </w:p>
    <w:p w14:paraId="6645C804" w14:textId="77777777" w:rsidR="00FE629C" w:rsidRPr="00E86A90" w:rsidRDefault="00FE629C" w:rsidP="006F28A9">
      <w:pPr>
        <w:ind w:right="360"/>
        <w:rPr>
          <w:rFonts w:eastAsia="Avenir" w:cstheme="minorHAnsi"/>
          <w:color w:val="58595B"/>
          <w:sz w:val="16"/>
          <w:szCs w:val="16"/>
        </w:rPr>
      </w:pPr>
    </w:p>
    <w:p w14:paraId="099737C6" w14:textId="77777777" w:rsidR="00B106D8" w:rsidRPr="00E86A90" w:rsidRDefault="00B106D8" w:rsidP="00B106D8">
      <w:pPr>
        <w:ind w:right="360"/>
        <w:rPr>
          <w:rFonts w:eastAsia="Avenir" w:cstheme="minorHAnsi"/>
          <w:b/>
          <w:color w:val="58595B"/>
          <w:sz w:val="16"/>
          <w:szCs w:val="16"/>
        </w:rPr>
      </w:pPr>
      <w:r w:rsidRPr="00E86A90">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E86A90">
        <w:rPr>
          <w:rFonts w:eastAsia="Avenir" w:cstheme="minorHAnsi"/>
          <w:color w:val="58595B"/>
          <w:sz w:val="16"/>
          <w:szCs w:val="16"/>
        </w:rPr>
        <w:t>meeting</w:t>
      </w:r>
      <w:proofErr w:type="gramEnd"/>
      <w:r w:rsidRPr="00E86A90">
        <w:rPr>
          <w:rFonts w:eastAsia="Avenir" w:cstheme="minorHAnsi"/>
          <w:color w:val="58595B"/>
          <w:sz w:val="16"/>
          <w:szCs w:val="16"/>
        </w:rPr>
        <w:t xml:space="preserve"> the particular investment needs of any investor. </w:t>
      </w:r>
      <w:r w:rsidRPr="00E86A90">
        <w:rPr>
          <w:rFonts w:eastAsia="Avenir" w:cstheme="minorHAnsi"/>
          <w:b/>
          <w:color w:val="58595B"/>
          <w:sz w:val="16"/>
          <w:szCs w:val="16"/>
        </w:rPr>
        <w:t>Past performance does not guarantee future results.</w:t>
      </w:r>
    </w:p>
    <w:p w14:paraId="094364AD" w14:textId="77777777" w:rsidR="00B106D8" w:rsidRPr="00E86A90" w:rsidRDefault="00B106D8" w:rsidP="00B106D8">
      <w:pPr>
        <w:ind w:right="360"/>
        <w:rPr>
          <w:rFonts w:eastAsia="Avenir" w:cstheme="minorHAnsi"/>
          <w:b/>
          <w:color w:val="58595B"/>
          <w:sz w:val="16"/>
          <w:szCs w:val="16"/>
        </w:rPr>
      </w:pPr>
    </w:p>
    <w:p w14:paraId="7979E7BB"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5BAC2C7D" w:rsidR="00B106D8" w:rsidRPr="00E86A90" w:rsidRDefault="00B106D8" w:rsidP="00B106D8">
      <w:pPr>
        <w:ind w:right="360"/>
        <w:rPr>
          <w:rFonts w:eastAsia="Avenir" w:cstheme="minorHAnsi"/>
          <w:color w:val="58595B"/>
          <w:sz w:val="16"/>
          <w:szCs w:val="16"/>
        </w:rPr>
      </w:pPr>
    </w:p>
    <w:p w14:paraId="4AAE2B8F" w14:textId="2DB04373"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E86A90">
        <w:rPr>
          <w:rFonts w:eastAsia="Avenir" w:cstheme="minorHAnsi"/>
          <w:color w:val="58595B"/>
          <w:sz w:val="16"/>
          <w:szCs w:val="16"/>
        </w:rPr>
        <w:t>value weighted</w:t>
      </w:r>
      <w:proofErr w:type="gramEnd"/>
      <w:r w:rsidRPr="00E86A90">
        <w:rPr>
          <w:rFonts w:eastAsia="Avenir" w:cstheme="minorHAnsi"/>
          <w:color w:val="58595B"/>
          <w:sz w:val="16"/>
          <w:szCs w:val="16"/>
        </w:rPr>
        <w:t xml:space="preserve"> index with each stock's weight in the index proportionate to its market value.</w:t>
      </w:r>
    </w:p>
    <w:p w14:paraId="16C9F6E7" w14:textId="77777777" w:rsidR="00B106D8" w:rsidRPr="00E86A90" w:rsidRDefault="00B106D8" w:rsidP="00B106D8">
      <w:pPr>
        <w:ind w:right="360"/>
        <w:rPr>
          <w:rFonts w:eastAsia="Avenir" w:cstheme="minorHAnsi"/>
          <w:color w:val="58595B"/>
          <w:sz w:val="16"/>
          <w:szCs w:val="16"/>
        </w:rPr>
      </w:pPr>
    </w:p>
    <w:p w14:paraId="5D11A940" w14:textId="77777777"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E86A90" w:rsidRDefault="00B106D8" w:rsidP="00B106D8">
      <w:pPr>
        <w:ind w:right="360"/>
        <w:rPr>
          <w:rFonts w:eastAsia="Avenir" w:cstheme="minorHAnsi"/>
          <w:color w:val="58595B"/>
          <w:sz w:val="16"/>
          <w:szCs w:val="16"/>
        </w:rPr>
      </w:pPr>
    </w:p>
    <w:p w14:paraId="7A01E923" w14:textId="03889211"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 xml:space="preserve">The Dow Jones Industrial Average (DJIA) is a price-weighted average of 30 actively traded </w:t>
      </w:r>
      <w:r w:rsidR="00E9719E" w:rsidRPr="00E86A90">
        <w:rPr>
          <w:rFonts w:eastAsia="Avenir" w:cstheme="minorHAnsi"/>
          <w:color w:val="58595B"/>
          <w:sz w:val="16"/>
          <w:szCs w:val="16"/>
        </w:rPr>
        <w:t>"</w:t>
      </w:r>
      <w:r w:rsidRPr="00E86A90">
        <w:rPr>
          <w:rFonts w:eastAsia="Avenir" w:cstheme="minorHAnsi"/>
          <w:color w:val="58595B"/>
          <w:sz w:val="16"/>
          <w:szCs w:val="16"/>
        </w:rPr>
        <w:t>blue chip</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stocks, primarily industrials, but includes </w:t>
      </w:r>
      <w:proofErr w:type="gramStart"/>
      <w:r w:rsidRPr="00E86A90">
        <w:rPr>
          <w:rFonts w:eastAsia="Avenir" w:cstheme="minorHAnsi"/>
          <w:color w:val="58595B"/>
          <w:sz w:val="16"/>
          <w:szCs w:val="16"/>
        </w:rPr>
        <w:t>financials</w:t>
      </w:r>
      <w:proofErr w:type="gramEnd"/>
      <w:r w:rsidRPr="00E86A90">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E86A90" w:rsidRDefault="00B106D8" w:rsidP="00B106D8">
      <w:pPr>
        <w:ind w:right="360"/>
        <w:rPr>
          <w:rFonts w:eastAsia="Avenir" w:cstheme="minorHAnsi"/>
          <w:color w:val="58595B"/>
          <w:sz w:val="16"/>
          <w:szCs w:val="16"/>
        </w:rPr>
      </w:pPr>
    </w:p>
    <w:p w14:paraId="30F1270C" w14:textId="3C13E34A"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E86A90">
        <w:rPr>
          <w:rFonts w:eastAsia="Avenir" w:cstheme="minorHAnsi"/>
          <w:color w:val="58595B"/>
          <w:sz w:val="16"/>
          <w:szCs w:val="16"/>
        </w:rPr>
        <w:t>S</w:t>
      </w:r>
      <w:r w:rsidRPr="00E86A90">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E86A90" w:rsidRDefault="00B106D8" w:rsidP="00B106D8">
      <w:pPr>
        <w:ind w:right="360"/>
        <w:rPr>
          <w:rFonts w:eastAsia="Avenir" w:cstheme="minorHAnsi"/>
          <w:color w:val="58595B"/>
          <w:sz w:val="16"/>
          <w:szCs w:val="16"/>
        </w:rPr>
      </w:pPr>
    </w:p>
    <w:p w14:paraId="2C6F803A" w14:textId="38C12ED9" w:rsidR="00B106D8" w:rsidRPr="00E86A90" w:rsidRDefault="00B106D8" w:rsidP="00B106D8">
      <w:pPr>
        <w:ind w:right="360"/>
        <w:rPr>
          <w:rFonts w:eastAsia="Avenir" w:cstheme="minorHAnsi"/>
          <w:color w:val="58595B"/>
          <w:sz w:val="16"/>
          <w:szCs w:val="16"/>
        </w:rPr>
      </w:pPr>
      <w:r w:rsidRPr="00E86A90">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E86A90">
        <w:rPr>
          <w:rFonts w:eastAsia="Avenir" w:cstheme="minorHAnsi"/>
          <w:color w:val="58595B"/>
          <w:sz w:val="16"/>
          <w:szCs w:val="16"/>
        </w:rPr>
        <w:t>'</w:t>
      </w:r>
      <w:r w:rsidRPr="00E86A90">
        <w:rPr>
          <w:rFonts w:eastAsia="Avenir" w:cstheme="minorHAnsi"/>
          <w:color w:val="58595B"/>
          <w:sz w:val="16"/>
          <w:szCs w:val="16"/>
        </w:rPr>
        <w:t xml:space="preserve"> short-</w:t>
      </w:r>
      <w:proofErr w:type="gramStart"/>
      <w:r w:rsidRPr="00E86A90">
        <w:rPr>
          <w:rFonts w:eastAsia="Avenir" w:cstheme="minorHAnsi"/>
          <w:color w:val="58595B"/>
          <w:sz w:val="16"/>
          <w:szCs w:val="16"/>
        </w:rPr>
        <w:t>term—</w:t>
      </w:r>
      <w:proofErr w:type="gramEnd"/>
      <w:r w:rsidRPr="00E86A90">
        <w:rPr>
          <w:rFonts w:eastAsia="Avenir" w:cstheme="minorHAnsi"/>
          <w:color w:val="58595B"/>
          <w:sz w:val="16"/>
          <w:szCs w:val="16"/>
        </w:rPr>
        <w:t xml:space="preserve">that is, six-month—outlook for, and sentiment about, the performance of the overall economy as it </w:t>
      </w:r>
      <w:proofErr w:type="gramStart"/>
      <w:r w:rsidRPr="00E86A90">
        <w:rPr>
          <w:rFonts w:eastAsia="Avenir" w:cstheme="minorHAnsi"/>
          <w:color w:val="58595B"/>
          <w:sz w:val="16"/>
          <w:szCs w:val="16"/>
        </w:rPr>
        <w:t>effects</w:t>
      </w:r>
      <w:proofErr w:type="gramEnd"/>
      <w:r w:rsidRPr="00E86A90">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79DAF556" w14:textId="77777777" w:rsidR="008C31AD" w:rsidRDefault="008C31AD" w:rsidP="00BF0243">
      <w:pPr>
        <w:widowControl/>
        <w:rPr>
          <w:rFonts w:cstheme="minorHAnsi"/>
          <w:color w:val="58595B"/>
          <w:sz w:val="16"/>
          <w:szCs w:val="16"/>
        </w:rPr>
      </w:pPr>
    </w:p>
    <w:p w14:paraId="04EA093D" w14:textId="77777777" w:rsidR="006A2425" w:rsidRPr="00C8469E" w:rsidRDefault="006A2425"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71F1092D"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A75738">
        <w:rPr>
          <w:rFonts w:cstheme="minorHAnsi"/>
          <w:color w:val="58595B"/>
          <w:sz w:val="16"/>
          <w:szCs w:val="16"/>
        </w:rPr>
        <w:t>6</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  All Rights Reserved.  </w:t>
      </w:r>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C8469E">
        <w:rPr>
          <w:rFonts w:eastAsiaTheme="minorEastAsia" w:cstheme="minorHAnsi"/>
          <w:color w:val="58595B"/>
          <w:sz w:val="16"/>
          <w:szCs w:val="16"/>
        </w:rPr>
        <w:t>period of time</w:t>
      </w:r>
      <w:proofErr w:type="gramEnd"/>
      <w:r w:rsidRPr="00C8469E">
        <w:rPr>
          <w:rFonts w:eastAsiaTheme="minorEastAsia" w:cstheme="minorHAnsi"/>
          <w:color w:val="58595B"/>
          <w:sz w:val="16"/>
          <w:szCs w:val="16"/>
        </w:rPr>
        <w:t xml:space="preserv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646FD8E5" w14:textId="77777777" w:rsidR="00413C98" w:rsidRPr="00126EFF" w:rsidRDefault="00413C98"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7B0FFC6F">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8"/>
      <w:headerReference w:type="default" r:id="rId29"/>
      <w:footerReference w:type="default" r:id="rId30"/>
      <w:headerReference w:type="first" r:id="rId31"/>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8D7E" w14:textId="77777777" w:rsidR="00065711" w:rsidRDefault="00065711">
      <w:r>
        <w:separator/>
      </w:r>
    </w:p>
  </w:endnote>
  <w:endnote w:type="continuationSeparator" w:id="0">
    <w:p w14:paraId="4112B118" w14:textId="77777777" w:rsidR="00065711" w:rsidRDefault="00065711">
      <w:r>
        <w:continuationSeparator/>
      </w:r>
    </w:p>
  </w:endnote>
  <w:endnote w:type="continuationNotice" w:id="1">
    <w:p w14:paraId="557B55F2" w14:textId="77777777" w:rsidR="00065711" w:rsidRDefault="00065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E9B2" w14:textId="77777777" w:rsidR="00065711" w:rsidRDefault="00065711">
      <w:r>
        <w:separator/>
      </w:r>
    </w:p>
  </w:footnote>
  <w:footnote w:type="continuationSeparator" w:id="0">
    <w:p w14:paraId="6419BE7B" w14:textId="77777777" w:rsidR="00065711" w:rsidRDefault="00065711">
      <w:r>
        <w:continuationSeparator/>
      </w:r>
    </w:p>
  </w:footnote>
  <w:footnote w:type="continuationNotice" w:id="1">
    <w:p w14:paraId="762B9687" w14:textId="77777777" w:rsidR="00065711" w:rsidRDefault="00065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413B9"/>
    <w:rsid w:val="000507C5"/>
    <w:rsid w:val="000536AB"/>
    <w:rsid w:val="00053804"/>
    <w:rsid w:val="00055C2B"/>
    <w:rsid w:val="00056B71"/>
    <w:rsid w:val="00056C5F"/>
    <w:rsid w:val="0006031A"/>
    <w:rsid w:val="00060559"/>
    <w:rsid w:val="00060862"/>
    <w:rsid w:val="0006119B"/>
    <w:rsid w:val="00061AE7"/>
    <w:rsid w:val="00065711"/>
    <w:rsid w:val="000719FE"/>
    <w:rsid w:val="00074E6F"/>
    <w:rsid w:val="00075B30"/>
    <w:rsid w:val="000762FC"/>
    <w:rsid w:val="0008061F"/>
    <w:rsid w:val="00081994"/>
    <w:rsid w:val="00084965"/>
    <w:rsid w:val="00085051"/>
    <w:rsid w:val="00085537"/>
    <w:rsid w:val="00093E1B"/>
    <w:rsid w:val="00095231"/>
    <w:rsid w:val="00097D96"/>
    <w:rsid w:val="000A2F3C"/>
    <w:rsid w:val="000A693A"/>
    <w:rsid w:val="000A7B71"/>
    <w:rsid w:val="000B0712"/>
    <w:rsid w:val="000B3FB0"/>
    <w:rsid w:val="000C1420"/>
    <w:rsid w:val="000C2111"/>
    <w:rsid w:val="000C4725"/>
    <w:rsid w:val="000C4E11"/>
    <w:rsid w:val="000C77BD"/>
    <w:rsid w:val="000D2FFB"/>
    <w:rsid w:val="000D3EB7"/>
    <w:rsid w:val="000E2EAD"/>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36E45"/>
    <w:rsid w:val="00140E81"/>
    <w:rsid w:val="00141D14"/>
    <w:rsid w:val="00142D1F"/>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B2A32"/>
    <w:rsid w:val="001C0EE6"/>
    <w:rsid w:val="001C2F89"/>
    <w:rsid w:val="001C3947"/>
    <w:rsid w:val="001C4696"/>
    <w:rsid w:val="001C4960"/>
    <w:rsid w:val="001C50E7"/>
    <w:rsid w:val="001D1332"/>
    <w:rsid w:val="001D359E"/>
    <w:rsid w:val="001D37EA"/>
    <w:rsid w:val="001D424B"/>
    <w:rsid w:val="001E031D"/>
    <w:rsid w:val="001E1889"/>
    <w:rsid w:val="001E3219"/>
    <w:rsid w:val="001E5301"/>
    <w:rsid w:val="001E59AF"/>
    <w:rsid w:val="001F05F8"/>
    <w:rsid w:val="001F519C"/>
    <w:rsid w:val="001F7D9E"/>
    <w:rsid w:val="002043A1"/>
    <w:rsid w:val="00206D28"/>
    <w:rsid w:val="00211CF4"/>
    <w:rsid w:val="00211D5C"/>
    <w:rsid w:val="00212F17"/>
    <w:rsid w:val="00213FC5"/>
    <w:rsid w:val="00215E29"/>
    <w:rsid w:val="002161F9"/>
    <w:rsid w:val="00220A5E"/>
    <w:rsid w:val="002219E6"/>
    <w:rsid w:val="00223068"/>
    <w:rsid w:val="002263BA"/>
    <w:rsid w:val="0023185E"/>
    <w:rsid w:val="002320E6"/>
    <w:rsid w:val="00233CBB"/>
    <w:rsid w:val="00234165"/>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76CCB"/>
    <w:rsid w:val="00280765"/>
    <w:rsid w:val="00280C61"/>
    <w:rsid w:val="0028553B"/>
    <w:rsid w:val="002858FB"/>
    <w:rsid w:val="00286212"/>
    <w:rsid w:val="0029529F"/>
    <w:rsid w:val="00297429"/>
    <w:rsid w:val="002A38CA"/>
    <w:rsid w:val="002A436A"/>
    <w:rsid w:val="002A4821"/>
    <w:rsid w:val="002A4D21"/>
    <w:rsid w:val="002B07E7"/>
    <w:rsid w:val="002B27C8"/>
    <w:rsid w:val="002B2F91"/>
    <w:rsid w:val="002B3E10"/>
    <w:rsid w:val="002C01C4"/>
    <w:rsid w:val="002C0E8C"/>
    <w:rsid w:val="002C2526"/>
    <w:rsid w:val="002C3302"/>
    <w:rsid w:val="002C5401"/>
    <w:rsid w:val="002C648F"/>
    <w:rsid w:val="002D2361"/>
    <w:rsid w:val="002D2ABD"/>
    <w:rsid w:val="002D64A9"/>
    <w:rsid w:val="002E3928"/>
    <w:rsid w:val="002F2A80"/>
    <w:rsid w:val="002F35A7"/>
    <w:rsid w:val="002F6040"/>
    <w:rsid w:val="002F681A"/>
    <w:rsid w:val="002F7E04"/>
    <w:rsid w:val="00300681"/>
    <w:rsid w:val="00301338"/>
    <w:rsid w:val="003028C3"/>
    <w:rsid w:val="00303E34"/>
    <w:rsid w:val="003044A4"/>
    <w:rsid w:val="003047D1"/>
    <w:rsid w:val="0030559E"/>
    <w:rsid w:val="00305BFE"/>
    <w:rsid w:val="00305F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53C16"/>
    <w:rsid w:val="00366F01"/>
    <w:rsid w:val="00373420"/>
    <w:rsid w:val="003737D4"/>
    <w:rsid w:val="003739E6"/>
    <w:rsid w:val="00374837"/>
    <w:rsid w:val="003758DC"/>
    <w:rsid w:val="00377EE1"/>
    <w:rsid w:val="00381561"/>
    <w:rsid w:val="0038183B"/>
    <w:rsid w:val="00384380"/>
    <w:rsid w:val="00387007"/>
    <w:rsid w:val="00390271"/>
    <w:rsid w:val="00390789"/>
    <w:rsid w:val="00393E6A"/>
    <w:rsid w:val="003958D3"/>
    <w:rsid w:val="00395F67"/>
    <w:rsid w:val="00396F47"/>
    <w:rsid w:val="003A021A"/>
    <w:rsid w:val="003A0958"/>
    <w:rsid w:val="003A68D9"/>
    <w:rsid w:val="003A6F18"/>
    <w:rsid w:val="003A7A3C"/>
    <w:rsid w:val="003B0255"/>
    <w:rsid w:val="003B3649"/>
    <w:rsid w:val="003B44B8"/>
    <w:rsid w:val="003B4CF3"/>
    <w:rsid w:val="003B6D62"/>
    <w:rsid w:val="003B7124"/>
    <w:rsid w:val="003B727B"/>
    <w:rsid w:val="003B730E"/>
    <w:rsid w:val="003B7896"/>
    <w:rsid w:val="003C0140"/>
    <w:rsid w:val="003C0245"/>
    <w:rsid w:val="003C092C"/>
    <w:rsid w:val="003C52DD"/>
    <w:rsid w:val="003C566E"/>
    <w:rsid w:val="003C6216"/>
    <w:rsid w:val="003C70C1"/>
    <w:rsid w:val="003C7B91"/>
    <w:rsid w:val="003D13A4"/>
    <w:rsid w:val="003D158A"/>
    <w:rsid w:val="003D64BE"/>
    <w:rsid w:val="003D725D"/>
    <w:rsid w:val="003E2206"/>
    <w:rsid w:val="003E3854"/>
    <w:rsid w:val="003E43C9"/>
    <w:rsid w:val="003E4BD4"/>
    <w:rsid w:val="003E63FE"/>
    <w:rsid w:val="003E7DE5"/>
    <w:rsid w:val="003F0914"/>
    <w:rsid w:val="003F25A9"/>
    <w:rsid w:val="003F7F06"/>
    <w:rsid w:val="00400BA3"/>
    <w:rsid w:val="00400BB9"/>
    <w:rsid w:val="00401EB9"/>
    <w:rsid w:val="004050FD"/>
    <w:rsid w:val="00405370"/>
    <w:rsid w:val="00413C98"/>
    <w:rsid w:val="004167E5"/>
    <w:rsid w:val="00417810"/>
    <w:rsid w:val="00420166"/>
    <w:rsid w:val="004235CF"/>
    <w:rsid w:val="00424748"/>
    <w:rsid w:val="0042685B"/>
    <w:rsid w:val="004325CE"/>
    <w:rsid w:val="00435035"/>
    <w:rsid w:val="00436208"/>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1DF8"/>
    <w:rsid w:val="004D3DA7"/>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5C4D"/>
    <w:rsid w:val="00527771"/>
    <w:rsid w:val="00530BB9"/>
    <w:rsid w:val="00535EE9"/>
    <w:rsid w:val="0054458C"/>
    <w:rsid w:val="00545C4C"/>
    <w:rsid w:val="00545D21"/>
    <w:rsid w:val="0054686C"/>
    <w:rsid w:val="00546F98"/>
    <w:rsid w:val="005473D5"/>
    <w:rsid w:val="00550A3F"/>
    <w:rsid w:val="00552197"/>
    <w:rsid w:val="005537A6"/>
    <w:rsid w:val="00554141"/>
    <w:rsid w:val="005544FD"/>
    <w:rsid w:val="00555404"/>
    <w:rsid w:val="00556280"/>
    <w:rsid w:val="005625F5"/>
    <w:rsid w:val="00562D7C"/>
    <w:rsid w:val="00564075"/>
    <w:rsid w:val="00567D40"/>
    <w:rsid w:val="00570973"/>
    <w:rsid w:val="0057380B"/>
    <w:rsid w:val="0057622E"/>
    <w:rsid w:val="00576510"/>
    <w:rsid w:val="00584BAA"/>
    <w:rsid w:val="00585229"/>
    <w:rsid w:val="00593260"/>
    <w:rsid w:val="00593C4C"/>
    <w:rsid w:val="005971D3"/>
    <w:rsid w:val="00597589"/>
    <w:rsid w:val="005A0C0D"/>
    <w:rsid w:val="005A213E"/>
    <w:rsid w:val="005A25DD"/>
    <w:rsid w:val="005A2D15"/>
    <w:rsid w:val="005A30D7"/>
    <w:rsid w:val="005A4790"/>
    <w:rsid w:val="005A503A"/>
    <w:rsid w:val="005A66CA"/>
    <w:rsid w:val="005B0F37"/>
    <w:rsid w:val="005B2B32"/>
    <w:rsid w:val="005B6E90"/>
    <w:rsid w:val="005C015E"/>
    <w:rsid w:val="005C0F5A"/>
    <w:rsid w:val="005C2D7B"/>
    <w:rsid w:val="005C33A3"/>
    <w:rsid w:val="005C3A4D"/>
    <w:rsid w:val="005C5E14"/>
    <w:rsid w:val="005C61FC"/>
    <w:rsid w:val="005C7F34"/>
    <w:rsid w:val="005D075C"/>
    <w:rsid w:val="005D0D11"/>
    <w:rsid w:val="005D13E1"/>
    <w:rsid w:val="005D1DE3"/>
    <w:rsid w:val="005D2405"/>
    <w:rsid w:val="005D3947"/>
    <w:rsid w:val="005D50CF"/>
    <w:rsid w:val="005D5662"/>
    <w:rsid w:val="005D7902"/>
    <w:rsid w:val="005E0EB9"/>
    <w:rsid w:val="005E2E0D"/>
    <w:rsid w:val="005E4B02"/>
    <w:rsid w:val="005E5936"/>
    <w:rsid w:val="005E7F47"/>
    <w:rsid w:val="005F0D6B"/>
    <w:rsid w:val="005F1B03"/>
    <w:rsid w:val="00602F86"/>
    <w:rsid w:val="0060375A"/>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6E2C"/>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A2425"/>
    <w:rsid w:val="006B2F77"/>
    <w:rsid w:val="006B76C3"/>
    <w:rsid w:val="006C1374"/>
    <w:rsid w:val="006C2183"/>
    <w:rsid w:val="006D0717"/>
    <w:rsid w:val="006D3705"/>
    <w:rsid w:val="006D6D46"/>
    <w:rsid w:val="006E1C96"/>
    <w:rsid w:val="006E3E4B"/>
    <w:rsid w:val="006E51E1"/>
    <w:rsid w:val="006E5CA8"/>
    <w:rsid w:val="006E779D"/>
    <w:rsid w:val="006F1371"/>
    <w:rsid w:val="006F28A9"/>
    <w:rsid w:val="006F3418"/>
    <w:rsid w:val="006F45C0"/>
    <w:rsid w:val="006F7759"/>
    <w:rsid w:val="006F7F43"/>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4575E"/>
    <w:rsid w:val="007500D2"/>
    <w:rsid w:val="00750595"/>
    <w:rsid w:val="00750961"/>
    <w:rsid w:val="00750FD6"/>
    <w:rsid w:val="00752039"/>
    <w:rsid w:val="0075254C"/>
    <w:rsid w:val="007537D7"/>
    <w:rsid w:val="00755010"/>
    <w:rsid w:val="0075656D"/>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B7D63"/>
    <w:rsid w:val="007C0D49"/>
    <w:rsid w:val="007C2D9B"/>
    <w:rsid w:val="007C344D"/>
    <w:rsid w:val="007C3925"/>
    <w:rsid w:val="007C4B80"/>
    <w:rsid w:val="007C67DB"/>
    <w:rsid w:val="007C7524"/>
    <w:rsid w:val="007D0D55"/>
    <w:rsid w:val="007D2D41"/>
    <w:rsid w:val="007D450B"/>
    <w:rsid w:val="007D5645"/>
    <w:rsid w:val="007D58B1"/>
    <w:rsid w:val="007E0095"/>
    <w:rsid w:val="007E1098"/>
    <w:rsid w:val="007E1511"/>
    <w:rsid w:val="007E191D"/>
    <w:rsid w:val="007E4BAC"/>
    <w:rsid w:val="007E4C98"/>
    <w:rsid w:val="007E4E13"/>
    <w:rsid w:val="007E55DD"/>
    <w:rsid w:val="007F10EF"/>
    <w:rsid w:val="007F4DAC"/>
    <w:rsid w:val="007F669A"/>
    <w:rsid w:val="007F7717"/>
    <w:rsid w:val="0080555E"/>
    <w:rsid w:val="00805E10"/>
    <w:rsid w:val="008062B1"/>
    <w:rsid w:val="00806F76"/>
    <w:rsid w:val="00807A2D"/>
    <w:rsid w:val="00811543"/>
    <w:rsid w:val="0081474B"/>
    <w:rsid w:val="00816C8D"/>
    <w:rsid w:val="00820771"/>
    <w:rsid w:val="0082261D"/>
    <w:rsid w:val="008256B4"/>
    <w:rsid w:val="008259BC"/>
    <w:rsid w:val="0082628D"/>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87119"/>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4BA2"/>
    <w:rsid w:val="008C716E"/>
    <w:rsid w:val="008D1AC2"/>
    <w:rsid w:val="008D35C8"/>
    <w:rsid w:val="008D5D78"/>
    <w:rsid w:val="008D741D"/>
    <w:rsid w:val="008D7593"/>
    <w:rsid w:val="008E01C4"/>
    <w:rsid w:val="008E056D"/>
    <w:rsid w:val="008E5BC6"/>
    <w:rsid w:val="008E5DE9"/>
    <w:rsid w:val="008F081A"/>
    <w:rsid w:val="008F12F3"/>
    <w:rsid w:val="008F5D7B"/>
    <w:rsid w:val="0090011F"/>
    <w:rsid w:val="00900651"/>
    <w:rsid w:val="009015F6"/>
    <w:rsid w:val="0090192B"/>
    <w:rsid w:val="009021D8"/>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356BE"/>
    <w:rsid w:val="0094135E"/>
    <w:rsid w:val="00941B78"/>
    <w:rsid w:val="009421C4"/>
    <w:rsid w:val="00943DCD"/>
    <w:rsid w:val="00943EA9"/>
    <w:rsid w:val="009446EB"/>
    <w:rsid w:val="0094730E"/>
    <w:rsid w:val="00950001"/>
    <w:rsid w:val="00951B43"/>
    <w:rsid w:val="009525F2"/>
    <w:rsid w:val="0095400E"/>
    <w:rsid w:val="00955EBF"/>
    <w:rsid w:val="009567D4"/>
    <w:rsid w:val="00957520"/>
    <w:rsid w:val="00960CA5"/>
    <w:rsid w:val="00962148"/>
    <w:rsid w:val="00962FF6"/>
    <w:rsid w:val="0096312F"/>
    <w:rsid w:val="00963B94"/>
    <w:rsid w:val="009643B4"/>
    <w:rsid w:val="00965B02"/>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A6949"/>
    <w:rsid w:val="009B1563"/>
    <w:rsid w:val="009B3E01"/>
    <w:rsid w:val="009B4639"/>
    <w:rsid w:val="009B4976"/>
    <w:rsid w:val="009B4B9D"/>
    <w:rsid w:val="009B54A0"/>
    <w:rsid w:val="009B7188"/>
    <w:rsid w:val="009C1ECA"/>
    <w:rsid w:val="009C5A20"/>
    <w:rsid w:val="009D0DD0"/>
    <w:rsid w:val="009D0EF3"/>
    <w:rsid w:val="009D46CC"/>
    <w:rsid w:val="009E114D"/>
    <w:rsid w:val="009E274F"/>
    <w:rsid w:val="009F1391"/>
    <w:rsid w:val="009F19DF"/>
    <w:rsid w:val="009F2929"/>
    <w:rsid w:val="009F4F1D"/>
    <w:rsid w:val="009F70BD"/>
    <w:rsid w:val="00A00DE7"/>
    <w:rsid w:val="00A010D1"/>
    <w:rsid w:val="00A049E2"/>
    <w:rsid w:val="00A04C54"/>
    <w:rsid w:val="00A05DEE"/>
    <w:rsid w:val="00A11F92"/>
    <w:rsid w:val="00A1218C"/>
    <w:rsid w:val="00A22B74"/>
    <w:rsid w:val="00A22F75"/>
    <w:rsid w:val="00A26AC3"/>
    <w:rsid w:val="00A31B84"/>
    <w:rsid w:val="00A3398B"/>
    <w:rsid w:val="00A37CFE"/>
    <w:rsid w:val="00A40946"/>
    <w:rsid w:val="00A42F7D"/>
    <w:rsid w:val="00A46DE6"/>
    <w:rsid w:val="00A53BBB"/>
    <w:rsid w:val="00A5513B"/>
    <w:rsid w:val="00A5537B"/>
    <w:rsid w:val="00A56914"/>
    <w:rsid w:val="00A613CC"/>
    <w:rsid w:val="00A621BC"/>
    <w:rsid w:val="00A65456"/>
    <w:rsid w:val="00A6691B"/>
    <w:rsid w:val="00A754E7"/>
    <w:rsid w:val="00A75738"/>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24DD"/>
    <w:rsid w:val="00AD47A7"/>
    <w:rsid w:val="00AD571B"/>
    <w:rsid w:val="00AD5B9F"/>
    <w:rsid w:val="00AD5FF3"/>
    <w:rsid w:val="00AD6482"/>
    <w:rsid w:val="00AE050B"/>
    <w:rsid w:val="00AE355A"/>
    <w:rsid w:val="00AE4730"/>
    <w:rsid w:val="00AE5933"/>
    <w:rsid w:val="00AF1C6B"/>
    <w:rsid w:val="00AF4F9B"/>
    <w:rsid w:val="00AF6165"/>
    <w:rsid w:val="00AF640D"/>
    <w:rsid w:val="00AF73E9"/>
    <w:rsid w:val="00B008BF"/>
    <w:rsid w:val="00B010F5"/>
    <w:rsid w:val="00B04E79"/>
    <w:rsid w:val="00B106D8"/>
    <w:rsid w:val="00B1237F"/>
    <w:rsid w:val="00B14A3F"/>
    <w:rsid w:val="00B167F6"/>
    <w:rsid w:val="00B21DF7"/>
    <w:rsid w:val="00B22DBF"/>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3E51"/>
    <w:rsid w:val="00B5439B"/>
    <w:rsid w:val="00B56279"/>
    <w:rsid w:val="00B56B09"/>
    <w:rsid w:val="00B57F19"/>
    <w:rsid w:val="00B601FA"/>
    <w:rsid w:val="00B613BE"/>
    <w:rsid w:val="00B62503"/>
    <w:rsid w:val="00B64A88"/>
    <w:rsid w:val="00B6511F"/>
    <w:rsid w:val="00B6575E"/>
    <w:rsid w:val="00B6712C"/>
    <w:rsid w:val="00B72A30"/>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6319"/>
    <w:rsid w:val="00BE7ACE"/>
    <w:rsid w:val="00BE7FC6"/>
    <w:rsid w:val="00BF0243"/>
    <w:rsid w:val="00BF19D8"/>
    <w:rsid w:val="00BF1AAE"/>
    <w:rsid w:val="00BF2195"/>
    <w:rsid w:val="00BF300F"/>
    <w:rsid w:val="00BF5C01"/>
    <w:rsid w:val="00BF64AD"/>
    <w:rsid w:val="00C01FC8"/>
    <w:rsid w:val="00C02A9E"/>
    <w:rsid w:val="00C033C8"/>
    <w:rsid w:val="00C03AB7"/>
    <w:rsid w:val="00C03FF2"/>
    <w:rsid w:val="00C04E70"/>
    <w:rsid w:val="00C05BC2"/>
    <w:rsid w:val="00C10313"/>
    <w:rsid w:val="00C1181C"/>
    <w:rsid w:val="00C13384"/>
    <w:rsid w:val="00C13591"/>
    <w:rsid w:val="00C1403A"/>
    <w:rsid w:val="00C14B5D"/>
    <w:rsid w:val="00C16713"/>
    <w:rsid w:val="00C1768F"/>
    <w:rsid w:val="00C20A12"/>
    <w:rsid w:val="00C20D43"/>
    <w:rsid w:val="00C21098"/>
    <w:rsid w:val="00C210C1"/>
    <w:rsid w:val="00C219B7"/>
    <w:rsid w:val="00C22E7D"/>
    <w:rsid w:val="00C22F31"/>
    <w:rsid w:val="00C23A23"/>
    <w:rsid w:val="00C24E4A"/>
    <w:rsid w:val="00C309DD"/>
    <w:rsid w:val="00C32235"/>
    <w:rsid w:val="00C32E69"/>
    <w:rsid w:val="00C338CD"/>
    <w:rsid w:val="00C3645F"/>
    <w:rsid w:val="00C36DFD"/>
    <w:rsid w:val="00C400A1"/>
    <w:rsid w:val="00C40488"/>
    <w:rsid w:val="00C437FE"/>
    <w:rsid w:val="00C4506C"/>
    <w:rsid w:val="00C46828"/>
    <w:rsid w:val="00C519BC"/>
    <w:rsid w:val="00C53863"/>
    <w:rsid w:val="00C53C28"/>
    <w:rsid w:val="00C54BED"/>
    <w:rsid w:val="00C54DD1"/>
    <w:rsid w:val="00C570E1"/>
    <w:rsid w:val="00C60411"/>
    <w:rsid w:val="00C604AF"/>
    <w:rsid w:val="00C64E73"/>
    <w:rsid w:val="00C64F63"/>
    <w:rsid w:val="00C66249"/>
    <w:rsid w:val="00C71857"/>
    <w:rsid w:val="00C71CEB"/>
    <w:rsid w:val="00C71FF6"/>
    <w:rsid w:val="00C73951"/>
    <w:rsid w:val="00C73E8A"/>
    <w:rsid w:val="00C77191"/>
    <w:rsid w:val="00C81BA7"/>
    <w:rsid w:val="00C83CC2"/>
    <w:rsid w:val="00C8469E"/>
    <w:rsid w:val="00C85FF6"/>
    <w:rsid w:val="00C87564"/>
    <w:rsid w:val="00C907B1"/>
    <w:rsid w:val="00CA10C2"/>
    <w:rsid w:val="00CA3F39"/>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3CD"/>
    <w:rsid w:val="00CE39E0"/>
    <w:rsid w:val="00CE60C6"/>
    <w:rsid w:val="00CE62F7"/>
    <w:rsid w:val="00CE7DF2"/>
    <w:rsid w:val="00CF00E3"/>
    <w:rsid w:val="00CF093E"/>
    <w:rsid w:val="00CF1602"/>
    <w:rsid w:val="00CF1B81"/>
    <w:rsid w:val="00CF1BAA"/>
    <w:rsid w:val="00CF34E8"/>
    <w:rsid w:val="00D00879"/>
    <w:rsid w:val="00D02209"/>
    <w:rsid w:val="00D0261F"/>
    <w:rsid w:val="00D034B7"/>
    <w:rsid w:val="00D05DF5"/>
    <w:rsid w:val="00D14185"/>
    <w:rsid w:val="00D15709"/>
    <w:rsid w:val="00D15F4E"/>
    <w:rsid w:val="00D17439"/>
    <w:rsid w:val="00D22917"/>
    <w:rsid w:val="00D26F72"/>
    <w:rsid w:val="00D30449"/>
    <w:rsid w:val="00D32EFB"/>
    <w:rsid w:val="00D360C5"/>
    <w:rsid w:val="00D409A8"/>
    <w:rsid w:val="00D42564"/>
    <w:rsid w:val="00D42D9A"/>
    <w:rsid w:val="00D50A92"/>
    <w:rsid w:val="00D51366"/>
    <w:rsid w:val="00D55894"/>
    <w:rsid w:val="00D55D70"/>
    <w:rsid w:val="00D5610D"/>
    <w:rsid w:val="00D561CB"/>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4FF"/>
    <w:rsid w:val="00DB3D33"/>
    <w:rsid w:val="00DB4ABB"/>
    <w:rsid w:val="00DB4F20"/>
    <w:rsid w:val="00DB4FE6"/>
    <w:rsid w:val="00DB66E1"/>
    <w:rsid w:val="00DC061F"/>
    <w:rsid w:val="00DC39C5"/>
    <w:rsid w:val="00DC3EF3"/>
    <w:rsid w:val="00DC493E"/>
    <w:rsid w:val="00DC5AC8"/>
    <w:rsid w:val="00DC63C0"/>
    <w:rsid w:val="00DC70D3"/>
    <w:rsid w:val="00DD3659"/>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688E"/>
    <w:rsid w:val="00E17B6F"/>
    <w:rsid w:val="00E20B17"/>
    <w:rsid w:val="00E22E74"/>
    <w:rsid w:val="00E23963"/>
    <w:rsid w:val="00E249E2"/>
    <w:rsid w:val="00E25950"/>
    <w:rsid w:val="00E30DB4"/>
    <w:rsid w:val="00E3118A"/>
    <w:rsid w:val="00E313DC"/>
    <w:rsid w:val="00E32A73"/>
    <w:rsid w:val="00E361B6"/>
    <w:rsid w:val="00E365C0"/>
    <w:rsid w:val="00E4127A"/>
    <w:rsid w:val="00E41CB0"/>
    <w:rsid w:val="00E42C8D"/>
    <w:rsid w:val="00E4354E"/>
    <w:rsid w:val="00E43D28"/>
    <w:rsid w:val="00E45703"/>
    <w:rsid w:val="00E463D4"/>
    <w:rsid w:val="00E47C9E"/>
    <w:rsid w:val="00E50BC4"/>
    <w:rsid w:val="00E5192E"/>
    <w:rsid w:val="00E51D8A"/>
    <w:rsid w:val="00E54EC0"/>
    <w:rsid w:val="00E55B2F"/>
    <w:rsid w:val="00E65E5A"/>
    <w:rsid w:val="00E729B6"/>
    <w:rsid w:val="00E73B5F"/>
    <w:rsid w:val="00E74152"/>
    <w:rsid w:val="00E761F7"/>
    <w:rsid w:val="00E76A5C"/>
    <w:rsid w:val="00E8223C"/>
    <w:rsid w:val="00E829DC"/>
    <w:rsid w:val="00E82D3C"/>
    <w:rsid w:val="00E83506"/>
    <w:rsid w:val="00E83E8F"/>
    <w:rsid w:val="00E85CF7"/>
    <w:rsid w:val="00E86A90"/>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E7F78"/>
    <w:rsid w:val="00EF1341"/>
    <w:rsid w:val="00EF26B3"/>
    <w:rsid w:val="00EF3A04"/>
    <w:rsid w:val="00EF421D"/>
    <w:rsid w:val="00EF4FDE"/>
    <w:rsid w:val="00F054CE"/>
    <w:rsid w:val="00F05EB3"/>
    <w:rsid w:val="00F12C03"/>
    <w:rsid w:val="00F1553D"/>
    <w:rsid w:val="00F16554"/>
    <w:rsid w:val="00F201A1"/>
    <w:rsid w:val="00F20C2D"/>
    <w:rsid w:val="00F21AFE"/>
    <w:rsid w:val="00F236B2"/>
    <w:rsid w:val="00F25A3F"/>
    <w:rsid w:val="00F27917"/>
    <w:rsid w:val="00F31F5F"/>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333E"/>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7FE"/>
    <w:rsid w:val="00F94B31"/>
    <w:rsid w:val="00F96FDC"/>
    <w:rsid w:val="00F979F9"/>
    <w:rsid w:val="00FA27FD"/>
    <w:rsid w:val="00FA2943"/>
    <w:rsid w:val="00FA3FD3"/>
    <w:rsid w:val="00FA4B58"/>
    <w:rsid w:val="00FA57CE"/>
    <w:rsid w:val="00FA616C"/>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7C1"/>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4"/>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4"/>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apnews.com/article/consumer-confidence-conference-board-prices-inflation-91e835feb0bf4f998c8b2f4dc112c28b" TargetMode="External"/><Relationship Id="rId3" Type="http://schemas.openxmlformats.org/officeDocument/2006/relationships/customXml" Target="../customXml/item3.xml"/><Relationship Id="rId21" Type="http://schemas.openxmlformats.org/officeDocument/2006/relationships/hyperlink" Target="https://www.federalreserve.gov/newsevents/pressreleases/monetary20260429a.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onference-board.org/topics/consumer-confide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nbc.com/2026/04/10/cpi-inflation-report-march-2026.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nbc.com/2026/04/30/pce-inflation-rate-march-2026.html" TargetMode="External"/><Relationship Id="rId28" Type="http://schemas.openxmlformats.org/officeDocument/2006/relationships/header" Target="header4.xm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bc.com/2026/04/29/fed-interest-rate-decision-april-2026.html" TargetMode="External"/><Relationship Id="rId27" Type="http://schemas.openxmlformats.org/officeDocument/2006/relationships/image" Target="media/image3.png"/><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75616104657adf65ba4d3a6b46572597">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916ea73b19eb922aeab26123b2bbeb27"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FB6BCD0E-FD1E-4B08-9B22-3CD488E8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1692</Words>
  <Characters>8905</Characters>
  <Application>Microsoft Office Word</Application>
  <DocSecurity>0</DocSecurity>
  <Lines>150</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2</cp:revision>
  <cp:lastPrinted>2026-04-01T18:03:00Z</cp:lastPrinted>
  <dcterms:created xsi:type="dcterms:W3CDTF">2026-05-01T18:40:00Z</dcterms:created>
  <dcterms:modified xsi:type="dcterms:W3CDTF">2026-05-01T18:40:00Z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